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FB0A5">
      <w:pPr>
        <w:spacing w:line="360" w:lineRule="auto"/>
        <w:rPr>
          <w:rFonts w:ascii="宋体" w:hAnsi="宋体"/>
          <w:b/>
          <w:sz w:val="30"/>
          <w:szCs w:val="30"/>
        </w:rPr>
      </w:pPr>
      <w:r>
        <w:rPr>
          <w:rFonts w:hint="eastAsia" w:ascii="宋体" w:hAnsi="宋体"/>
          <w:b/>
          <w:bCs/>
          <w:sz w:val="32"/>
          <w:szCs w:val="32"/>
        </w:rPr>
        <w:t>附件1：</w:t>
      </w:r>
    </w:p>
    <w:p w14:paraId="0B0782DB">
      <w:pPr>
        <w:keepNext w:val="0"/>
        <w:keepLines w:val="0"/>
        <w:pageBreakBefore w:val="0"/>
        <w:widowControl w:val="0"/>
        <w:kinsoku/>
        <w:wordWrap/>
        <w:overflowPunct/>
        <w:topLinePunct w:val="0"/>
        <w:autoSpaceDE/>
        <w:autoSpaceDN/>
        <w:bidi w:val="0"/>
        <w:adjustRightInd/>
        <w:snapToGrid/>
        <w:spacing w:line="240" w:lineRule="auto"/>
        <w:ind w:firstLine="2880" w:firstLineChars="900"/>
        <w:textAlignment w:val="auto"/>
        <w:rPr>
          <w:rFonts w:ascii="宋体" w:hAnsi="宋体"/>
          <w:color w:val="000000"/>
          <w:sz w:val="32"/>
          <w:szCs w:val="32"/>
        </w:rPr>
      </w:pPr>
      <w:r>
        <w:rPr>
          <w:rFonts w:hint="eastAsia" w:ascii="宋体" w:hAnsi="宋体"/>
          <w:color w:val="000000"/>
          <w:sz w:val="32"/>
          <w:szCs w:val="32"/>
        </w:rPr>
        <w:t>采购项目</w:t>
      </w:r>
      <w:r>
        <w:rPr>
          <w:rFonts w:ascii="宋体" w:hAnsi="宋体"/>
          <w:color w:val="000000"/>
          <w:sz w:val="32"/>
          <w:szCs w:val="32"/>
        </w:rPr>
        <w:t>需求</w:t>
      </w:r>
    </w:p>
    <w:p w14:paraId="2B908D9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color w:val="000000"/>
          <w:szCs w:val="21"/>
        </w:rPr>
      </w:pPr>
      <w:r>
        <w:rPr>
          <w:rFonts w:hint="eastAsia" w:ascii="宋体" w:hAnsi="宋体" w:cs="宋体"/>
          <w:color w:val="000000"/>
          <w:szCs w:val="21"/>
        </w:rPr>
        <w:t>说明：</w:t>
      </w:r>
    </w:p>
    <w:p w14:paraId="5E327D5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cs="宋体"/>
          <w:szCs w:val="21"/>
        </w:rPr>
      </w:pPr>
      <w:r>
        <w:rPr>
          <w:rFonts w:hint="eastAsia" w:ascii="宋体" w:hAnsi="宋体" w:cs="宋体"/>
          <w:szCs w:val="21"/>
        </w:rPr>
        <w:t>1</w:t>
      </w:r>
      <w:r>
        <w:rPr>
          <w:rFonts w:ascii="宋体" w:hAnsi="宋体" w:cs="宋体"/>
          <w:szCs w:val="21"/>
        </w:rPr>
        <w:t>.</w:t>
      </w:r>
      <w:r>
        <w:rPr>
          <w:rFonts w:hint="eastAsia" w:ascii="宋体" w:hAnsi="宋体" w:cs="宋体"/>
          <w:szCs w:val="21"/>
        </w:rPr>
        <w:t>供应商必须对技术需求和服务要求及商务条款要求做出满足或者优于该要求和条件的承诺，否则响应文件无效。</w:t>
      </w:r>
    </w:p>
    <w:p w14:paraId="67B2CA35">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s="宋体"/>
          <w:color w:val="FF0000"/>
          <w:szCs w:val="21"/>
        </w:rPr>
      </w:pPr>
      <w:r>
        <w:rPr>
          <w:rFonts w:hint="eastAsia" w:ascii="宋体" w:hAnsi="宋体" w:cs="宋体"/>
          <w:szCs w:val="21"/>
        </w:rPr>
        <w:t>2.供应商应保证其所提供技术、产品及服务不侵犯任何第三方的合法知识产权。若因供应商自身行为或其提供的产品、服务本身的原因导致侵犯第三方专利、著作权等合法权益的，由该供应商独立承担全部法律责任。</w:t>
      </w:r>
    </w:p>
    <w:p w14:paraId="7525B0E6">
      <w:pPr>
        <w:pStyle w:val="2"/>
        <w:bidi w:val="0"/>
        <w:rPr>
          <w:rFonts w:hint="default"/>
          <w:lang w:val="en-US" w:eastAsia="zh-CN"/>
        </w:rPr>
      </w:pPr>
      <w:r>
        <w:rPr>
          <w:rFonts w:hint="eastAsia"/>
          <w:lang w:val="en-US" w:eastAsia="zh-CN"/>
        </w:rPr>
        <w:t>项目要求及技术需求</w:t>
      </w:r>
    </w:p>
    <w:p w14:paraId="2DEE903C">
      <w:pPr>
        <w:pStyle w:val="3"/>
        <w:bidi w:val="0"/>
        <w:rPr>
          <w:rFonts w:hint="eastAsia"/>
          <w:lang w:val="en-US" w:eastAsia="zh-CN"/>
        </w:rPr>
      </w:pPr>
      <w:r>
        <w:rPr>
          <w:rFonts w:hint="eastAsia"/>
          <w:lang w:val="en-US" w:eastAsia="zh-CN"/>
        </w:rPr>
        <w:t>教务管理系统升级总体要求</w:t>
      </w:r>
    </w:p>
    <w:p w14:paraId="4A4F7C40">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JAVA语言开发（非struts开发框架）、完全B/S架构、能够与移动端深度融合</w:t>
      </w:r>
      <w:r>
        <w:rPr>
          <w:rFonts w:hint="eastAsia" w:asciiTheme="minorEastAsia" w:hAnsiTheme="minorEastAsia" w:cstheme="minorEastAsia"/>
          <w:lang w:eastAsia="zh-CN"/>
        </w:rPr>
        <w:t>，以上技术路线基于现网兼容性需要，供应商可采用经学校认可、满足升级与数据迁移要求的替代技术方案并说明</w:t>
      </w:r>
      <w:r>
        <w:rPr>
          <w:rFonts w:hint="eastAsia" w:asciiTheme="minorEastAsia" w:hAnsiTheme="minorEastAsia" w:eastAsiaTheme="minorEastAsia" w:cstheme="minorEastAsia"/>
        </w:rPr>
        <w:t>。</w:t>
      </w:r>
    </w:p>
    <w:p w14:paraId="34F72A8E">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系统适应性强，易扩展，支持跨平台集群部署和软负载均衡机制。提供缓存中心管理功能模块，实现静态文件、动态文件的多级缓存管理，保障教学管理系统能够正常高效运行。</w:t>
      </w:r>
    </w:p>
    <w:p w14:paraId="029594D0">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操作界面友好，数据操作可视化程度高，兼容当前主流的谷歌、火狐、IE8以上多种浏览器，页面简洁、可操控性强，功能操作便捷，支持多种快捷键操作，如回车提交操作、按shift快速选中列表中的多行记录等，易于教学管理人员完成日常管理操作。</w:t>
      </w:r>
    </w:p>
    <w:p w14:paraId="19E1AFB4">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强大的数据挖掘功能，允许管理人员自由从系统中抽取所需要各类型数据：如高基报表数据，教学运行状态数据、工作量统计数据等；允许管理人员通过页面操作完成各种数据挖掘和统计。</w:t>
      </w:r>
    </w:p>
    <w:p w14:paraId="36DECBA8">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满足教学精细化管理要求：在教学管理上，能够管理到每一堂课的教师、学生、教学环节、教学模式、授课内容等详细信息；能通过将课堂授课内容的公开化实现课堂教学内容的学生监督和课堂反馈，辅助管理人员实现对全校教师课堂教学活动的管控。</w:t>
      </w:r>
    </w:p>
    <w:p w14:paraId="4C01FEAF">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满足管理科学化要求，实现一门课程各个教学环节的统一管理，理论、实验、实践、实习、实训、上机等不同的教学形式都是课程教学的一部分，各种教学形式对应的教学安排、考试安排、补考重修安排、工作量统计等数据管理都应实现全覆盖进行统一管理。</w:t>
      </w:r>
    </w:p>
    <w:p w14:paraId="3217DBE8">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各类型培养计划一体化管理：实现专业培养计划、辅修培养计划、模块式培养计划、楼层式、订单培养计划、兴趣班、提高班等各类教学计划的统一管理，学生可以同时对应多份培养计划，各份培养计划的开课、排课、选课、考试安排、成绩管理及毕业审核工作可并行完成。</w:t>
      </w:r>
    </w:p>
    <w:p w14:paraId="49C45C80">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学时、天、周多种教学度量单位一体化管理：在教学管理过程中除学时外，还有天、周两种教学度量单位，要求系统能够支持节次、天、周类型课表的统一管理及冲突检查。</w:t>
      </w:r>
    </w:p>
    <w:p w14:paraId="08EF7081">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课内、课余课表统一管理：除课内课表外，系统能够支持课余课表管理，如网络选修课、社会活动等课余课表可以统一展示到学生个人课表，但不影响校内课表编排。</w:t>
      </w:r>
    </w:p>
    <w:p w14:paraId="2519925D">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选课一体化管理：在教学管理及教学改革过程中，会有各种形式的选课：选课程、选教师（多个教师承担同一门课，学生选</w:t>
      </w:r>
      <w:r>
        <w:rPr>
          <w:rFonts w:hint="eastAsia" w:asciiTheme="minorEastAsia" w:hAnsiTheme="minorEastAsia" w:cstheme="minorEastAsia"/>
          <w:lang w:val="en-US" w:eastAsia="zh-CN"/>
        </w:rPr>
        <w:t>自己</w:t>
      </w:r>
      <w:bookmarkStart w:id="1" w:name="_GoBack"/>
      <w:bookmarkEnd w:id="1"/>
      <w:r>
        <w:rPr>
          <w:rFonts w:hint="eastAsia" w:asciiTheme="minorEastAsia" w:hAnsiTheme="minorEastAsia" w:eastAsiaTheme="minorEastAsia" w:cstheme="minorEastAsia"/>
        </w:rPr>
        <w:t>喜欢的教师）、选项目（体育课开设不同的项目）、选级别（英语分层次教学时学生选择对应级别的班级）、选时段（同一门课程不同时段平行开设，学生选择无课表冲突的班级），要求系统能够针对上述各种情况的选课，使用简洁统一的方式实现。</w:t>
      </w:r>
    </w:p>
    <w:p w14:paraId="08A12C30">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考试一体化管理：支持各种校内考试和校外考试管理，校内考试包括理论考试安排、实验考试安排、随堂考、学院考、期末统考、</w:t>
      </w:r>
      <w:r>
        <w:rPr>
          <w:rFonts w:hint="eastAsia"/>
        </w:rPr>
        <w:t>补考</w:t>
      </w:r>
      <w:r>
        <w:rPr>
          <w:rFonts w:hint="eastAsia"/>
          <w:color w:val="00B050"/>
        </w:rPr>
        <w:t>和重修</w:t>
      </w:r>
      <w:r>
        <w:rPr>
          <w:rFonts w:hint="eastAsia" w:asciiTheme="minorEastAsia" w:hAnsiTheme="minorEastAsia" w:eastAsiaTheme="minorEastAsia" w:cstheme="minorEastAsia"/>
        </w:rPr>
        <w:t>等，校外考试包括各种社会考试等外部考生参与的考试。</w:t>
      </w:r>
    </w:p>
    <w:p w14:paraId="6B80CC83">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高安全防护性：系统能够识别恶意用户的攻击行为并自动纳入黑名单，同时进行警告并给予禁止一定期限内访问系统。</w:t>
      </w:r>
    </w:p>
    <w:p w14:paraId="4E25739F">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提供高等级的成绩保护方案，实现对后台数据库的监控，对通过后台数据库操作更改的成绩，系统能够自动推送微信消息提醒教学管理人员，由管理人员审核核实。</w:t>
      </w:r>
    </w:p>
    <w:p w14:paraId="2711A18A">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提供账号密码、扫码等多种登陆方式，提供双因素认证登录，同时提供安全的账号管理方案，如短信找回码功能。</w:t>
      </w:r>
    </w:p>
    <w:p w14:paraId="2EEDB0E9">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提供完整的历史数据迁移解决方案。</w:t>
      </w:r>
    </w:p>
    <w:p w14:paraId="41E30666">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免费配合学校主管部门完成教学管理系统等级保护测评工作。</w:t>
      </w:r>
    </w:p>
    <w:p w14:paraId="425386B5">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在系统初始数据字典（依据《国家教育管理信息化标准》）的基础上，允许用户根据需要自定义扩展数据字典，所有数据字典允许用户自定义，兼容国标、部（教育部）标、校标等多个层次的数据字典标准。</w:t>
      </w:r>
    </w:p>
    <w:p w14:paraId="1864A0DA">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符合信创要求，适配操作系统、数据库和服务器等国产软硬件部署环境</w:t>
      </w:r>
      <w:r>
        <w:rPr>
          <w:rFonts w:hint="eastAsia" w:asciiTheme="minorEastAsia" w:hAnsiTheme="minorEastAsia" w:cstheme="minorEastAsia"/>
          <w:lang w:eastAsia="zh-CN"/>
        </w:rPr>
        <w:t>，</w:t>
      </w:r>
      <w:r>
        <w:rPr>
          <w:rFonts w:hint="eastAsia" w:asciiTheme="minorEastAsia" w:hAnsiTheme="minorEastAsia" w:eastAsiaTheme="minorEastAsia" w:cstheme="minorEastAsia"/>
        </w:rPr>
        <w:t>系统首页提供客服咨询功能，师生遇系统操作和使用问题时可直接发起在线咨询。</w:t>
      </w:r>
    </w:p>
    <w:p w14:paraId="6B2D2345">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系统各菜单界面上提供相关功能的使用帮助手册，以便于师生快速掌握系统的使用。</w:t>
      </w:r>
    </w:p>
    <w:p w14:paraId="6BFD0EF5">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系统各菜单界面提供Ai助手功能，能够对各界面数据进行分析。</w:t>
      </w:r>
    </w:p>
    <w:p w14:paraId="7F88E9C5">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提供多样化的桌面主题供用户挑选，一级菜单的显示方式支持横向或纵向，满足不同用户的个性化需求。</w:t>
      </w:r>
    </w:p>
    <w:p w14:paraId="10F72394">
      <w:pPr>
        <w:numPr>
          <w:ilvl w:val="0"/>
          <w:numId w:val="2"/>
        </w:numPr>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敏感信息分级加密，如密码采用不可逆加密，身份证号、电话等敏感信息采用可逆加密，访问需授权验证。</w:t>
      </w:r>
    </w:p>
    <w:p w14:paraId="6ABF06A8">
      <w:pPr>
        <w:pStyle w:val="3"/>
        <w:bidi w:val="0"/>
        <w:rPr>
          <w:rFonts w:hint="eastAsia"/>
          <w:lang w:val="en-US" w:eastAsia="zh-CN"/>
        </w:rPr>
      </w:pPr>
      <w:r>
        <w:rPr>
          <w:rFonts w:hint="eastAsia"/>
          <w:lang w:val="en-US" w:eastAsia="zh-CN"/>
        </w:rPr>
        <w:t>教务管理系统升级后性能要求</w:t>
      </w:r>
    </w:p>
    <w:p w14:paraId="71CF1BF8">
      <w:p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系统性能也是系统建设成败的一个关键指标，影响系统性能的因素是多方面的，网络、主机、安全、数据库、应用服务器和应用系统都有可能对系统的性能产生影响。具体性能要求如下：</w:t>
      </w:r>
    </w:p>
    <w:p w14:paraId="60925545">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可靠性、稳定性、界面友好：开发的系统应采用双服务器结构，每天自动备份，提供事务监控手段，提供有效系统运行日志管理功能；提供可靠的数据自动、异地备份功能；具有良好的运行保障体系，确保系统的稳定性；操作流程清晰简洁，用户界面美观大方。</w:t>
      </w:r>
    </w:p>
    <w:p w14:paraId="67192710">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安全性和保密性：系统设计时必须考虑整体的安全性，从数据访问操作、用户认证、数据加密，系统安全等多个方面对体系进行安全性设计，提高系统的安全性。在系统设计中，实现信息资源的充分共享并注意信息的保护和隔离，系统应分别针对不同的应用和不同的环境，采取不同的措施，包括系统安全机制，数据存取权限控制和数据存储加密机制。</w:t>
      </w:r>
    </w:p>
    <w:p w14:paraId="7C2EBA79">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可管理性：系统的设计必须有很好的可管理性，可以监测系统的运行状况。</w:t>
      </w:r>
    </w:p>
    <w:p w14:paraId="0FF2373D">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演示环境下性能指标：抽查系统中所有页面数据查询或统计响应平均时间不超过三秒。</w:t>
      </w:r>
    </w:p>
    <w:p w14:paraId="38A7B010">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为用户提供缓存管理模块，分别对系统使用到的动态、静态文件启用缓存管理功能，保障在高并发性环境下为提供良好的用户体验。</w:t>
      </w:r>
    </w:p>
    <w:p w14:paraId="49D855B4">
      <w:pPr>
        <w:numPr>
          <w:ilvl w:val="0"/>
          <w:numId w:val="3"/>
        </w:numPr>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系统架构应具备高并发处理能力与弹性扩展能力，在相应性能指标要求的服务器环境下，需满足不少于20,000名学生同时进行选课操作的业务场景，并确保系统响应流畅、无崩溃。报价人可在其报价方案中，对满足此性能所需推荐的服务器配置进行说明。</w:t>
      </w:r>
      <w:r>
        <w:rPr>
          <w:rFonts w:hint="eastAsia" w:asciiTheme="minorEastAsia" w:hAnsiTheme="minorEastAsia" w:eastAsiaTheme="minorEastAsia" w:cstheme="minorEastAsia"/>
        </w:rPr>
        <w:t>详细性能指标要求如下：</w:t>
      </w:r>
    </w:p>
    <w:tbl>
      <w:tblPr>
        <w:tblStyle w:val="18"/>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839"/>
        <w:gridCol w:w="6201"/>
      </w:tblGrid>
      <w:tr w14:paraId="1F56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351C1BE7">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w:t>
            </w:r>
          </w:p>
        </w:tc>
        <w:tc>
          <w:tcPr>
            <w:tcW w:w="6201" w:type="dxa"/>
            <w:tcMar>
              <w:top w:w="0" w:type="dxa"/>
              <w:left w:w="108" w:type="dxa"/>
              <w:bottom w:w="0" w:type="dxa"/>
              <w:right w:w="108" w:type="dxa"/>
            </w:tcMar>
          </w:tcPr>
          <w:p w14:paraId="47A7D588">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性能指标</w:t>
            </w:r>
          </w:p>
        </w:tc>
      </w:tr>
      <w:tr w14:paraId="51C8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599CC411">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在线人数</w:t>
            </w:r>
          </w:p>
        </w:tc>
        <w:tc>
          <w:tcPr>
            <w:tcW w:w="6201" w:type="dxa"/>
            <w:tcMar>
              <w:top w:w="0" w:type="dxa"/>
              <w:left w:w="108" w:type="dxa"/>
              <w:bottom w:w="0" w:type="dxa"/>
              <w:right w:w="108" w:type="dxa"/>
            </w:tcMar>
          </w:tcPr>
          <w:p w14:paraId="56C8F6D1">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支持20000人以上同时在线，支持5000并发操作；</w:t>
            </w:r>
          </w:p>
        </w:tc>
      </w:tr>
      <w:tr w14:paraId="4025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6FC1DF7F">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业务办理</w:t>
            </w:r>
          </w:p>
        </w:tc>
        <w:tc>
          <w:tcPr>
            <w:tcW w:w="6201" w:type="dxa"/>
            <w:tcMar>
              <w:top w:w="0" w:type="dxa"/>
              <w:left w:w="108" w:type="dxa"/>
              <w:bottom w:w="0" w:type="dxa"/>
              <w:right w:w="108" w:type="dxa"/>
            </w:tcMar>
          </w:tcPr>
          <w:p w14:paraId="43502873">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单笔业务录入/修改的响应时间≤1秒；</w:t>
            </w:r>
          </w:p>
          <w:p w14:paraId="656C8294">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单笔业务以外的其他业务响应时间≤3秒</w:t>
            </w:r>
          </w:p>
        </w:tc>
      </w:tr>
      <w:tr w14:paraId="3A24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34CD9599">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业务并发</w:t>
            </w:r>
          </w:p>
        </w:tc>
        <w:tc>
          <w:tcPr>
            <w:tcW w:w="6201" w:type="dxa"/>
            <w:tcMar>
              <w:top w:w="0" w:type="dxa"/>
              <w:left w:w="108" w:type="dxa"/>
              <w:bottom w:w="0" w:type="dxa"/>
              <w:right w:w="108" w:type="dxa"/>
            </w:tcMar>
          </w:tcPr>
          <w:p w14:paraId="30D39E81">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系统至少支持峰值2500笔/分钟的实时查询或处理业务;</w:t>
            </w:r>
          </w:p>
        </w:tc>
      </w:tr>
      <w:tr w14:paraId="1E04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1265DCFE">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查询</w:t>
            </w:r>
          </w:p>
        </w:tc>
        <w:tc>
          <w:tcPr>
            <w:tcW w:w="6201" w:type="dxa"/>
            <w:tcMar>
              <w:top w:w="0" w:type="dxa"/>
              <w:left w:w="108" w:type="dxa"/>
              <w:bottom w:w="0" w:type="dxa"/>
              <w:right w:w="108" w:type="dxa"/>
            </w:tcMar>
          </w:tcPr>
          <w:p w14:paraId="11AD55E3">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百万级数据量下单用户本地查询的响应时间≤3秒；</w:t>
            </w:r>
          </w:p>
          <w:p w14:paraId="75C249F6">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简单统计报表查询的响应时间≤2秒</w:t>
            </w:r>
          </w:p>
        </w:tc>
      </w:tr>
      <w:tr w14:paraId="0FDF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839" w:type="dxa"/>
            <w:tcMar>
              <w:top w:w="0" w:type="dxa"/>
              <w:left w:w="108" w:type="dxa"/>
              <w:bottom w:w="0" w:type="dxa"/>
              <w:right w:w="108" w:type="dxa"/>
            </w:tcMar>
            <w:vAlign w:val="center"/>
          </w:tcPr>
          <w:p w14:paraId="46D5676E">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统计</w:t>
            </w:r>
          </w:p>
        </w:tc>
        <w:tc>
          <w:tcPr>
            <w:tcW w:w="6201" w:type="dxa"/>
            <w:tcMar>
              <w:top w:w="0" w:type="dxa"/>
              <w:left w:w="108" w:type="dxa"/>
              <w:bottom w:w="0" w:type="dxa"/>
              <w:right w:w="108" w:type="dxa"/>
            </w:tcMar>
          </w:tcPr>
          <w:p w14:paraId="15364E15">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百万级数据量下单项统计的响应时间≤3秒</w:t>
            </w:r>
          </w:p>
          <w:p w14:paraId="58152537">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生成复杂统计报表的响应时间≤5秒</w:t>
            </w:r>
          </w:p>
        </w:tc>
      </w:tr>
    </w:tbl>
    <w:p w14:paraId="58BB3711">
      <w:pPr>
        <w:pStyle w:val="3"/>
        <w:bidi w:val="0"/>
        <w:rPr>
          <w:rFonts w:hint="eastAsia"/>
          <w:lang w:val="en-US" w:eastAsia="zh-CN"/>
        </w:rPr>
      </w:pPr>
      <w:r>
        <w:rPr>
          <w:rFonts w:hint="eastAsia"/>
          <w:lang w:val="en-US" w:eastAsia="zh-CN"/>
        </w:rPr>
        <w:t>功能模块升级技术参数</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3"/>
        <w:gridCol w:w="695"/>
        <w:gridCol w:w="101"/>
        <w:gridCol w:w="5899"/>
        <w:gridCol w:w="650"/>
        <w:gridCol w:w="582"/>
      </w:tblGrid>
      <w:tr w14:paraId="592F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6"/>
            <w:noWrap w:val="0"/>
            <w:tcMar>
              <w:top w:w="13" w:type="dxa"/>
              <w:left w:w="57" w:type="dxa"/>
              <w:bottom w:w="0" w:type="dxa"/>
              <w:right w:w="57" w:type="dxa"/>
            </w:tcMar>
            <w:vAlign w:val="center"/>
          </w:tcPr>
          <w:p w14:paraId="25C47768">
            <w:pPr>
              <w:pStyle w:val="4"/>
              <w:bidi w:val="0"/>
              <w:ind w:left="0" w:leftChars="0" w:firstLine="0" w:firstLineChars="0"/>
              <w:rPr>
                <w:rFonts w:hint="eastAsia"/>
              </w:rPr>
            </w:pPr>
            <w:r>
              <w:rPr>
                <w:rFonts w:hint="eastAsia"/>
              </w:rPr>
              <w:t>技术和服务要求</w:t>
            </w:r>
          </w:p>
        </w:tc>
      </w:tr>
      <w:tr w14:paraId="7D0B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693596E5">
            <w:pPr>
              <w:keepLines w:val="0"/>
              <w:pageBreakBefore w:val="0"/>
              <w:kinsoku/>
              <w:wordWrap/>
              <w:overflowPunct/>
              <w:topLinePunct w:val="0"/>
              <w:autoSpaceDE/>
              <w:autoSpaceDN/>
              <w:bidi w:val="0"/>
              <w:adjustRightInd/>
              <w:spacing w:line="240" w:lineRule="auto"/>
              <w:ind w:firstLine="0" w:firstLineChars="0"/>
              <w:jc w:val="center"/>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序号</w:t>
            </w:r>
          </w:p>
        </w:tc>
        <w:tc>
          <w:tcPr>
            <w:tcW w:w="412" w:type="pct"/>
            <w:noWrap w:val="0"/>
            <w:tcMar>
              <w:top w:w="13" w:type="dxa"/>
              <w:left w:w="57" w:type="dxa"/>
              <w:bottom w:w="0" w:type="dxa"/>
              <w:right w:w="57" w:type="dxa"/>
            </w:tcMar>
            <w:vAlign w:val="center"/>
          </w:tcPr>
          <w:p w14:paraId="7B3E1D03">
            <w:pPr>
              <w:keepLines w:val="0"/>
              <w:pageBreakBefore w:val="0"/>
              <w:kinsoku/>
              <w:wordWrap/>
              <w:overflowPunct/>
              <w:topLinePunct w:val="0"/>
              <w:autoSpaceDE/>
              <w:autoSpaceDN/>
              <w:bidi w:val="0"/>
              <w:adjustRightInd/>
              <w:snapToGrid w:val="0"/>
              <w:spacing w:line="240" w:lineRule="auto"/>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cstheme="minorEastAsia"/>
                <w:b/>
                <w:bCs/>
                <w:color w:val="auto"/>
                <w:szCs w:val="21"/>
                <w:highlight w:val="none"/>
                <w:lang w:val="en-US" w:eastAsia="zh-CN"/>
              </w:rPr>
              <w:t>采购</w:t>
            </w:r>
            <w:r>
              <w:rPr>
                <w:rFonts w:hint="eastAsia" w:asciiTheme="minorEastAsia" w:hAnsiTheme="minorEastAsia" w:eastAsiaTheme="minorEastAsia" w:cstheme="minorEastAsia"/>
                <w:b/>
                <w:bCs/>
                <w:color w:val="auto"/>
                <w:szCs w:val="21"/>
                <w:highlight w:val="none"/>
              </w:rPr>
              <w:t>内容</w:t>
            </w:r>
          </w:p>
        </w:tc>
        <w:tc>
          <w:tcPr>
            <w:tcW w:w="3562" w:type="pct"/>
            <w:gridSpan w:val="2"/>
            <w:noWrap w:val="0"/>
            <w:tcMar>
              <w:top w:w="13" w:type="dxa"/>
              <w:left w:w="57" w:type="dxa"/>
              <w:bottom w:w="0" w:type="dxa"/>
              <w:right w:w="57" w:type="dxa"/>
            </w:tcMar>
            <w:vAlign w:val="center"/>
          </w:tcPr>
          <w:p w14:paraId="13B55F1B">
            <w:pPr>
              <w:keepLines w:val="0"/>
              <w:pageBreakBefore w:val="0"/>
              <w:kinsoku/>
              <w:wordWrap/>
              <w:overflowPunct/>
              <w:topLinePunct w:val="0"/>
              <w:autoSpaceDE/>
              <w:autoSpaceDN/>
              <w:bidi w:val="0"/>
              <w:adjustRightInd/>
              <w:spacing w:line="240" w:lineRule="auto"/>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cstheme="minorEastAsia"/>
                <w:b/>
                <w:bCs/>
                <w:color w:val="auto"/>
                <w:kern w:val="0"/>
                <w:szCs w:val="21"/>
                <w:highlight w:val="none"/>
                <w:lang w:val="en-US" w:eastAsia="zh-CN"/>
              </w:rPr>
              <w:t>技术参数</w:t>
            </w:r>
          </w:p>
        </w:tc>
        <w:tc>
          <w:tcPr>
            <w:tcW w:w="385" w:type="pct"/>
            <w:noWrap w:val="0"/>
            <w:vAlign w:val="center"/>
          </w:tcPr>
          <w:p w14:paraId="0B792C4A">
            <w:pPr>
              <w:keepLines w:val="0"/>
              <w:pageBreakBefore w:val="0"/>
              <w:kinsoku/>
              <w:wordWrap/>
              <w:overflowPunct/>
              <w:topLinePunct w:val="0"/>
              <w:autoSpaceDE/>
              <w:autoSpaceDN/>
              <w:bidi w:val="0"/>
              <w:adjustRightInd/>
              <w:spacing w:line="240" w:lineRule="auto"/>
              <w:ind w:firstLine="0" w:firstLineChars="0"/>
              <w:jc w:val="center"/>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计量</w:t>
            </w:r>
          </w:p>
          <w:p w14:paraId="35269FCF">
            <w:pPr>
              <w:keepLines w:val="0"/>
              <w:pageBreakBefore w:val="0"/>
              <w:kinsoku/>
              <w:wordWrap/>
              <w:overflowPunct/>
              <w:topLinePunct w:val="0"/>
              <w:autoSpaceDE/>
              <w:autoSpaceDN/>
              <w:bidi w:val="0"/>
              <w:adjustRightInd/>
              <w:spacing w:line="240" w:lineRule="auto"/>
              <w:ind w:firstLine="0" w:firstLineChars="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kern w:val="0"/>
                <w:szCs w:val="21"/>
                <w:highlight w:val="none"/>
              </w:rPr>
              <w:t>单位</w:t>
            </w:r>
          </w:p>
        </w:tc>
        <w:tc>
          <w:tcPr>
            <w:tcW w:w="345" w:type="pct"/>
            <w:noWrap w:val="0"/>
            <w:vAlign w:val="center"/>
          </w:tcPr>
          <w:p w14:paraId="54E49CF8">
            <w:pPr>
              <w:keepLines w:val="0"/>
              <w:pageBreakBefore w:val="0"/>
              <w:kinsoku/>
              <w:wordWrap/>
              <w:overflowPunct/>
              <w:topLinePunct w:val="0"/>
              <w:autoSpaceDE/>
              <w:autoSpaceDN/>
              <w:bidi w:val="0"/>
              <w:adjustRightInd/>
              <w:spacing w:line="240" w:lineRule="auto"/>
              <w:ind w:firstLine="0" w:firstLineChars="0"/>
              <w:jc w:val="center"/>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数量</w:t>
            </w:r>
          </w:p>
        </w:tc>
      </w:tr>
      <w:tr w14:paraId="4431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608A216A">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1</w:t>
            </w:r>
          </w:p>
        </w:tc>
        <w:tc>
          <w:tcPr>
            <w:tcW w:w="412" w:type="pct"/>
            <w:shd w:val="clear" w:color="auto" w:fill="auto"/>
            <w:noWrap w:val="0"/>
            <w:tcMar>
              <w:top w:w="13" w:type="dxa"/>
              <w:left w:w="57" w:type="dxa"/>
              <w:bottom w:w="0" w:type="dxa"/>
              <w:right w:w="57" w:type="dxa"/>
            </w:tcMar>
            <w:vAlign w:val="center"/>
          </w:tcPr>
          <w:p w14:paraId="6DA16765">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显示及原业务操作优化升级</w:t>
            </w:r>
          </w:p>
        </w:tc>
        <w:tc>
          <w:tcPr>
            <w:tcW w:w="3562" w:type="pct"/>
            <w:gridSpan w:val="2"/>
            <w:shd w:val="clear" w:color="auto" w:fill="auto"/>
            <w:noWrap w:val="0"/>
            <w:tcMar>
              <w:top w:w="13" w:type="dxa"/>
              <w:left w:w="57" w:type="dxa"/>
              <w:bottom w:w="0" w:type="dxa"/>
              <w:right w:w="57" w:type="dxa"/>
            </w:tcMar>
            <w:vAlign w:val="center"/>
          </w:tcPr>
          <w:p w14:paraId="721802A2">
            <w:pPr>
              <w:numPr>
                <w:ilvl w:val="0"/>
                <w:numId w:val="4"/>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用户维护</w:t>
            </w:r>
          </w:p>
          <w:p w14:paraId="6D77DD17">
            <w:pPr>
              <w:numPr>
                <w:ilvl w:val="0"/>
                <w:numId w:val="5"/>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教师数据权限范围增加按专业、教室、教师院系、实习基地、项目类别等多种设置方式；</w:t>
            </w:r>
          </w:p>
          <w:p w14:paraId="6DBF4011">
            <w:pPr>
              <w:numPr>
                <w:ilvl w:val="0"/>
                <w:numId w:val="5"/>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教师卡片核对功能，可设置教师卡片核对说明，供教师卡片核对时查看；可设置需要核对教师卡片的人员范围，可按学院、教研室、角色、教师个人等多种方式设置；支持针对教师卡片的每一项信息（如毕业院校、学历、学位、职务等）设置是否必填、是否可更改、是否允许申请变动等控制</w:t>
            </w:r>
            <w:r>
              <w:rPr>
                <w:rFonts w:hint="eastAsia" w:asciiTheme="minorEastAsia" w:hAnsiTheme="minorEastAsia" w:eastAsiaTheme="minorEastAsia" w:cstheme="minorEastAsia"/>
                <w:color w:val="auto"/>
                <w:highlight w:val="none"/>
                <w:lang w:eastAsia="zh-CN"/>
              </w:rPr>
              <w:t>。</w:t>
            </w:r>
          </w:p>
          <w:p w14:paraId="56918B4D">
            <w:pPr>
              <w:numPr>
                <w:ilvl w:val="0"/>
                <w:numId w:val="4"/>
              </w:numPr>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流程定制：系统能支持工作流引擎，实现审核流程的动态配置，可自定义各项审核流程的节点数、节点名称、各级审核人或审核角色、审核范围等信息</w:t>
            </w:r>
            <w:r>
              <w:rPr>
                <w:rFonts w:hint="eastAsia" w:asciiTheme="minorEastAsia" w:hAnsiTheme="minorEastAsia" w:eastAsiaTheme="minorEastAsia" w:cstheme="minorEastAsia"/>
                <w:color w:val="auto"/>
                <w:highlight w:val="none"/>
                <w:lang w:eastAsia="zh-CN"/>
              </w:rPr>
              <w:t>。</w:t>
            </w:r>
          </w:p>
          <w:p w14:paraId="606D3FC3">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提供自主选择下一审核节点审核人员功能；</w:t>
            </w:r>
          </w:p>
          <w:p w14:paraId="3CEB11AE">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提供审核人员签名确认功能；</w:t>
            </w:r>
          </w:p>
          <w:p w14:paraId="47706D42">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提供审核结果抄送功能，可将审核结果抄送给相关人员；</w:t>
            </w:r>
          </w:p>
          <w:p w14:paraId="3E9BD645">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同一审核流程支持根据不同的申办类型定制特殊审核流程；</w:t>
            </w:r>
          </w:p>
          <w:p w14:paraId="494CE0AB">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提供自主选择退回任一审核节点功能；任一审核节点退回后，用户重新提交后可从执行退回操作的节点开始审核；</w:t>
            </w:r>
          </w:p>
          <w:p w14:paraId="73410FFC">
            <w:pPr>
              <w:numPr>
                <w:ilvl w:val="0"/>
                <w:numId w:val="6"/>
              </w:numPr>
              <w:ind w:left="425" w:leftChars="0" w:hanging="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提供业务流程督办功能，可以根据督办规则向业务负责人发送超时督办通知。</w:t>
            </w:r>
          </w:p>
          <w:p w14:paraId="693D1998">
            <w:pPr>
              <w:numPr>
                <w:ilvl w:val="0"/>
                <w:numId w:val="4"/>
              </w:numPr>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页面设置：为系统管理人员提供列表页面数据视图定制功能，管理员可以统一设定页面中开放显示的列，设定后对所有登陆用户生效。</w:t>
            </w:r>
          </w:p>
          <w:p w14:paraId="431A2FD1">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提供多种样式主题，简约版，美观版等。</w:t>
            </w:r>
          </w:p>
          <w:p w14:paraId="0B9EA022">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提供菜单显示方式选择，提供横版菜单和竖版菜单。</w:t>
            </w:r>
          </w:p>
          <w:p w14:paraId="72AE80A8">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页面自动适配调整，自动根据显示大小调整页面大小。</w:t>
            </w:r>
          </w:p>
          <w:p w14:paraId="6E5A5346">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增强危险操作提醒辨识度，更醒目，更直观。</w:t>
            </w:r>
          </w:p>
          <w:p w14:paraId="4D998D0F">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查询页面支持侧边缩放，和侧边显示带上次查询内容</w:t>
            </w:r>
          </w:p>
          <w:p w14:paraId="10CC410F">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列表增加自定义隐藏列功能，可根据个人需要进行隐藏和显示</w:t>
            </w:r>
          </w:p>
          <w:p w14:paraId="141B5CD2">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支持多功能标签，在系统中各个功能中进行标记和查询</w:t>
            </w:r>
          </w:p>
          <w:p w14:paraId="720574B5">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查询条件排列优化及自动关联显示</w:t>
            </w:r>
          </w:p>
          <w:p w14:paraId="46B9EF53">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常用数据支持粘贴一列功能</w:t>
            </w:r>
          </w:p>
          <w:p w14:paraId="6ECD943D">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开课管理优化</w:t>
            </w:r>
          </w:p>
          <w:p w14:paraId="4369404A">
            <w:pPr>
              <w:pStyle w:val="17"/>
              <w:numPr>
                <w:ilvl w:val="0"/>
                <w:numId w:val="7"/>
              </w:numPr>
              <w:spacing w:after="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开课任务管理：能够自定义启用各种检测规则，如教室容纳人数检查、授课教师检查、实验室检查、授课内容检查、教学进度、总学时或理论实践学时数检查等，确保教学安排的严谨及教学数据的质量；</w:t>
            </w:r>
          </w:p>
          <w:p w14:paraId="54A9B4E2">
            <w:pPr>
              <w:pStyle w:val="17"/>
              <w:numPr>
                <w:ilvl w:val="0"/>
                <w:numId w:val="7"/>
              </w:numPr>
              <w:spacing w:after="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补修、重修管理：管理人员可设置是否允许学生补、重修报名时课表冲突及选课报名时允许冲突的学时数比例；</w:t>
            </w:r>
          </w:p>
          <w:p w14:paraId="0A9D2B34">
            <w:pPr>
              <w:pStyle w:val="17"/>
              <w:numPr>
                <w:ilvl w:val="0"/>
                <w:numId w:val="7"/>
              </w:numPr>
              <w:spacing w:after="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上课学生管理：提供上课学生名单变动通知功能，当教学班学生名单变动时，能够通知对应的授课教师更新点名册；</w:t>
            </w:r>
          </w:p>
          <w:p w14:paraId="5D837532">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commentRangeStart w:id="0"/>
            <w:r>
              <w:rPr>
                <w:rFonts w:hint="eastAsia" w:asciiTheme="minorEastAsia" w:hAnsiTheme="minorEastAsia" w:eastAsiaTheme="minorEastAsia" w:cstheme="minorEastAsia"/>
                <w:color w:val="auto"/>
                <w:highlight w:val="none"/>
                <w:lang w:val="en-US" w:eastAsia="zh-CN"/>
              </w:rPr>
              <w:t>教材管理优化</w:t>
            </w:r>
          </w:p>
          <w:p w14:paraId="5A951D46">
            <w:pPr>
              <w:numPr>
                <w:ilvl w:val="0"/>
                <w:numId w:val="8"/>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课程教材管理：系统提供按课程平台指定课程教材功能，管理员可维护课程在用教材库，能够依据课程指导教材快速生成学期教材采购计划。</w:t>
            </w:r>
          </w:p>
          <w:p w14:paraId="5F11944D">
            <w:pPr>
              <w:numPr>
                <w:ilvl w:val="0"/>
                <w:numId w:val="8"/>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2、增加：教材管理方面新增马工程课程标识，管理员可手动维护该课程是否属于马工程课程，被标识为马工程的课程，该课程的所有平台均自动标识为马工程课程，导出的教材采购计划表中可以快速查找马工程课程填报的教材，方便核对</w:t>
            </w:r>
            <w:commentRangeEnd w:id="0"/>
            <w:r>
              <w:commentReference w:id="0"/>
            </w:r>
            <w:r>
              <w:rPr>
                <w:rFonts w:hint="eastAsia" w:asciiTheme="minorEastAsia" w:hAnsiTheme="minorEastAsia" w:eastAsiaTheme="minorEastAsia" w:cstheme="minorEastAsia"/>
              </w:rPr>
              <w:t>。</w:t>
            </w:r>
          </w:p>
          <w:p w14:paraId="03C70AB7">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日常运行</w:t>
            </w:r>
          </w:p>
          <w:p w14:paraId="53FB5AB7">
            <w:pPr>
              <w:numPr>
                <w:ilvl w:val="0"/>
                <w:numId w:val="9"/>
              </w:num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调停补课管理：管理人员可以控制补课申请提交的起止时间段，只允许在规定时间段内补课；支持教师互调、更换课程负责人等多种调课类型；</w:t>
            </w:r>
          </w:p>
          <w:p w14:paraId="71DA1B2D">
            <w:pPr>
              <w:numPr>
                <w:ilvl w:val="0"/>
                <w:numId w:val="9"/>
              </w:num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课堂留言板</w:t>
            </w:r>
          </w:p>
          <w:p w14:paraId="5B0CB7CC">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提供课堂留言板管理功能，构建教师与学生的便捷互动平台；</w:t>
            </w:r>
          </w:p>
          <w:p w14:paraId="00FE84B3">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教师可以随时发布线上课程通知及邀请码、课前预习资料、课后测验码等各类课堂相关信息，发布后能够通过移动端向所有上课学生推送。</w:t>
            </w:r>
          </w:p>
          <w:p w14:paraId="3A286271">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学生可以在课堂留言板上向教师提出问题或请求指导，教师可进行回复，系统自动提醒。</w:t>
            </w:r>
          </w:p>
          <w:p w14:paraId="088A683A">
            <w:pPr>
              <w:numPr>
                <w:ilvl w:val="0"/>
                <w:numId w:val="9"/>
              </w:num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课堂速报</w:t>
            </w:r>
          </w:p>
          <w:p w14:paraId="59E957BC">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允许学生在教务移动端提交课堂速报，如教师误课等，管理员可查询学生提交的课堂速报信息，包含学号、姓名、课程名称、教师、速报类型、速报日期等信息。</w:t>
            </w:r>
          </w:p>
          <w:p w14:paraId="75CE3DD6">
            <w:pPr>
              <w:numPr>
                <w:ilvl w:val="0"/>
                <w:numId w:val="9"/>
              </w:numPr>
              <w:bidi w:val="0"/>
              <w:ind w:left="0" w:leftChars="0" w:firstLine="42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考场速报</w:t>
            </w:r>
          </w:p>
          <w:p w14:paraId="4017DE4D">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提供考场速报功能，监考教师可以快速提交考场中认定的违纪和舞弊行为并上传证明材料；</w:t>
            </w:r>
          </w:p>
          <w:p w14:paraId="1E7F9305">
            <w:pPr>
              <w:numPr>
                <w:ilvl w:val="0"/>
                <w:numId w:val="9"/>
              </w:numPr>
              <w:bidi w:val="0"/>
              <w:ind w:left="0" w:leftChars="0" w:firstLine="420" w:firstLineChars="20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数据稽查</w:t>
            </w:r>
          </w:p>
          <w:p w14:paraId="220747A3">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为保证教学服务系统数据的严谨性、业务办理的时效性，及时发现运行过程中的业务异常现象，要求系统能够提供服务治理预警功能，具体要求如下：</w:t>
            </w:r>
          </w:p>
          <w:p w14:paraId="6119818C">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能够自定义各种业务异常现像，如缓考或免修等业务提交后超过一定期限未受理，能够向对应业务管理人员发送预警通知；</w:t>
            </w:r>
          </w:p>
          <w:p w14:paraId="48355BE4">
            <w:pPr>
              <w:bidi w:val="0"/>
              <w:ind w:left="0" w:leftChars="0"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能够自动检测学生异动后未完整处理课程或成绩的学生，并向业务负责人发送预警通知；</w:t>
            </w:r>
          </w:p>
          <w:p w14:paraId="3BEB6110">
            <w:pPr>
              <w:pStyle w:val="17"/>
              <w:spacing w:after="0"/>
              <w:ind w:left="0" w:leftChars="0" w:firstLine="420" w:firstLineChars="200"/>
              <w:rPr>
                <w:rFonts w:hint="eastAsia" w:asciiTheme="minorEastAsia" w:hAnsiTheme="minorEastAsia" w:eastAsiaTheme="minorEastAsia" w:cstheme="minorEastAsia"/>
                <w:lang w:eastAsia="zh-CN"/>
              </w:rPr>
            </w:pPr>
            <w:commentRangeStart w:id="1"/>
            <w:r>
              <w:rPr>
                <w:rFonts w:hint="eastAsia" w:asciiTheme="minorEastAsia" w:hAnsiTheme="minorEastAsia" w:eastAsiaTheme="minorEastAsia" w:cstheme="minorEastAsia"/>
              </w:rPr>
              <w:t>优化教师录入成绩时的四舍五入机制与复核成绩提交时保持一致。目前教师提交成绩复核无误的学生成绩后，系统四舍五入后会将学生成绩增加0.1分</w:t>
            </w:r>
            <w:r>
              <w:rPr>
                <w:rFonts w:hint="eastAsia" w:asciiTheme="minorEastAsia" w:hAnsiTheme="minorEastAsia" w:eastAsiaTheme="minorEastAsia" w:cstheme="minorEastAsia"/>
                <w:lang w:eastAsia="zh-CN"/>
              </w:rPr>
              <w:t>。</w:t>
            </w:r>
            <w:commentRangeEnd w:id="1"/>
            <w:r>
              <w:commentReference w:id="1"/>
            </w:r>
          </w:p>
          <w:p w14:paraId="6BEDB6FB">
            <w:pPr>
              <w:numPr>
                <w:ilvl w:val="0"/>
                <w:numId w:val="4"/>
              </w:numPr>
              <w:ind w:left="0" w:leftChars="0"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教师服务</w:t>
            </w:r>
          </w:p>
          <w:p w14:paraId="5A32CBE7">
            <w:pPr>
              <w:bidi w:val="0"/>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系统能为教师提供各类教学相关的实时在线服务，主要包括以下内容：</w:t>
            </w:r>
          </w:p>
          <w:p w14:paraId="15F971FE">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教学设计：针对各学期授课计划做教学设计，包括每次课的教学环节、学时数、教学功能区、授课内容等信息；</w:t>
            </w:r>
          </w:p>
          <w:p w14:paraId="6A51DAF1">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实验项目安排：提供实验项目安排、实验分组功能。</w:t>
            </w:r>
          </w:p>
          <w:p w14:paraId="26754498">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学生停考申请：允许教师提交学生停考申请，审核审批通过后取消学生考试资格。</w:t>
            </w:r>
          </w:p>
          <w:p w14:paraId="5C79BEF9">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教学工作量：查询个人教学工作量，支持在线申请新增工作量，支持在线提交工作量复核申请；</w:t>
            </w:r>
          </w:p>
          <w:p w14:paraId="13601067">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试卷申报：自定义构建试卷结构，包含各试题类别题目数量及每题分值等信息，提交试卷入库申报，经审核审批通过后生效。</w:t>
            </w:r>
          </w:p>
          <w:p w14:paraId="3FEBDE80">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考试申报：排考教师可提交考试安排申报。</w:t>
            </w:r>
          </w:p>
          <w:p w14:paraId="3E052751">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监考任务：可查询本人监考任务，也可查询已发布的全校考试安排信息；支持提交监考变更申请，经审核审批通过后生效。</w:t>
            </w:r>
          </w:p>
          <w:p w14:paraId="7D41E9F9">
            <w:pPr>
              <w:numPr>
                <w:ilvl w:val="0"/>
                <w:numId w:val="10"/>
              </w:numPr>
              <w:bidi w:val="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个人设置：在线修改密码、短信找回密码；</w:t>
            </w:r>
          </w:p>
          <w:p w14:paraId="550E5017">
            <w:pPr>
              <w:pStyle w:val="17"/>
              <w:numPr>
                <w:ilvl w:val="0"/>
                <w:numId w:val="10"/>
              </w:numPr>
              <w:spacing w:after="0"/>
              <w:ind w:left="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在线咨询：提供在线客服咨询功能；</w:t>
            </w:r>
          </w:p>
          <w:p w14:paraId="2695EEC4">
            <w:pPr>
              <w:numPr>
                <w:ilvl w:val="0"/>
                <w:numId w:val="4"/>
              </w:numPr>
              <w:ind w:left="0" w:leftChars="0" w:firstLine="42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学生服务</w:t>
            </w:r>
          </w:p>
          <w:p w14:paraId="6C113609">
            <w:pPr>
              <w:numPr>
                <w:ilvl w:val="0"/>
                <w:numId w:val="11"/>
              </w:numPr>
              <w:bidi w:val="0"/>
              <w:ind w:left="0" w:leftChars="0" w:firstLine="420" w:firstLineChars="200"/>
            </w:pPr>
            <w:r>
              <w:rPr>
                <w:rFonts w:hint="eastAsia"/>
              </w:rPr>
              <w:t>过程成绩：查询教师录入的学生学习过程中的过程成绩。</w:t>
            </w:r>
          </w:p>
          <w:p w14:paraId="42B34D4D">
            <w:pPr>
              <w:numPr>
                <w:ilvl w:val="0"/>
                <w:numId w:val="11"/>
              </w:numPr>
              <w:bidi w:val="0"/>
              <w:ind w:left="0" w:leftChars="0" w:firstLine="420" w:firstLineChars="200"/>
            </w:pPr>
            <w:r>
              <w:rPr>
                <w:rFonts w:hint="eastAsia"/>
              </w:rPr>
              <w:t>我的成绩单：允许学生自动打印带有电子签章的pdf成绩单，系统提供对pdf成绩单进行防伪校验的功能。</w:t>
            </w:r>
          </w:p>
          <w:p w14:paraId="50EA297F">
            <w:pPr>
              <w:numPr>
                <w:ilvl w:val="0"/>
                <w:numId w:val="11"/>
              </w:numPr>
              <w:bidi w:val="0"/>
              <w:ind w:left="0" w:leftChars="0" w:firstLine="420" w:firstLineChars="200"/>
            </w:pPr>
            <w:r>
              <w:rPr>
                <w:rFonts w:hint="eastAsia"/>
              </w:rPr>
              <w:t>免考申请：允许学生提交免考申请，上传各类证明材料，经审核审批通过后生效；</w:t>
            </w:r>
          </w:p>
          <w:p w14:paraId="320954F5">
            <w:pPr>
              <w:numPr>
                <w:ilvl w:val="0"/>
                <w:numId w:val="11"/>
              </w:numPr>
              <w:bidi w:val="0"/>
              <w:ind w:left="0" w:leftChars="0" w:firstLine="420" w:firstLineChars="200"/>
            </w:pPr>
            <w:r>
              <w:rPr>
                <w:rFonts w:hint="eastAsia"/>
              </w:rPr>
              <w:t>免听申请：允许学生提交课程免听申请／课次免听申请，上传各类证明材料，经审核审批通过后，考勤记录自动排除通过免听申请的学生；</w:t>
            </w:r>
          </w:p>
          <w:p w14:paraId="2F0ACA42">
            <w:pPr>
              <w:numPr>
                <w:ilvl w:val="0"/>
                <w:numId w:val="11"/>
              </w:numPr>
              <w:bidi w:val="0"/>
              <w:ind w:left="0" w:leftChars="0" w:firstLine="420" w:firstLineChars="200"/>
            </w:pPr>
            <w:r>
              <w:rPr>
                <w:rFonts w:hint="eastAsia"/>
              </w:rPr>
              <w:t>休退学申请：允许学生提交休退学申请，上传各类证明材料，查询审核情况。</w:t>
            </w:r>
          </w:p>
          <w:p w14:paraId="4DAB3B49">
            <w:pPr>
              <w:numPr>
                <w:ilvl w:val="0"/>
                <w:numId w:val="11"/>
              </w:numPr>
              <w:bidi w:val="0"/>
              <w:ind w:left="0" w:leftChars="0" w:firstLine="420" w:firstLineChars="200"/>
            </w:pPr>
            <w:r>
              <w:rPr>
                <w:rFonts w:hint="eastAsia"/>
              </w:rPr>
              <w:t>成绩转换申请：学生线上提交成绩转换申请（如将计划外修得学分转换为公选课学分），查询审核情况。</w:t>
            </w:r>
          </w:p>
          <w:p w14:paraId="10D00D64">
            <w:pPr>
              <w:numPr>
                <w:ilvl w:val="0"/>
                <w:numId w:val="11"/>
              </w:numPr>
              <w:bidi w:val="0"/>
              <w:ind w:left="0" w:leftChars="0" w:firstLine="420" w:firstLineChars="200"/>
            </w:pPr>
            <w:r>
              <w:rPr>
                <w:rFonts w:hint="eastAsia"/>
              </w:rPr>
              <w:t>退课申请：学生能线上提交退课申请，如课程重复、学生压力过重、已有成绩等信息，由管理人员审核审批通过后生效。</w:t>
            </w:r>
          </w:p>
          <w:p w14:paraId="4EB7744A">
            <w:pPr>
              <w:numPr>
                <w:ilvl w:val="0"/>
                <w:numId w:val="11"/>
              </w:numPr>
              <w:bidi w:val="0"/>
              <w:ind w:left="0" w:leftChars="0" w:firstLine="420" w:firstLineChars="200"/>
            </w:pPr>
            <w:r>
              <w:rPr>
                <w:rFonts w:hint="eastAsia"/>
              </w:rPr>
              <w:t>信息变动申请：允许学生提交学籍信息变动申请，查询审核情况。</w:t>
            </w:r>
          </w:p>
          <w:p w14:paraId="4E524833">
            <w:pPr>
              <w:numPr>
                <w:ilvl w:val="0"/>
                <w:numId w:val="11"/>
              </w:numPr>
              <w:bidi w:val="0"/>
              <w:ind w:left="0" w:leftChars="0" w:firstLine="420" w:firstLineChars="200"/>
              <w:rPr>
                <w:rFonts w:hint="default" w:asciiTheme="minorEastAsia" w:hAnsiTheme="minorEastAsia" w:eastAsiaTheme="minorEastAsia" w:cstheme="minorEastAsia"/>
                <w:lang w:val="en-US" w:eastAsia="zh-CN"/>
              </w:rPr>
            </w:pPr>
            <w:r>
              <w:rPr>
                <w:rFonts w:hint="eastAsia"/>
              </w:rPr>
              <w:t>学籍变动申请：允许学生提交学籍变动申请，经管理人员审核通过后，可在管理员开放时间段内自行处理上课任务。</w:t>
            </w:r>
          </w:p>
        </w:tc>
        <w:tc>
          <w:tcPr>
            <w:tcW w:w="385" w:type="pct"/>
            <w:shd w:val="clear" w:color="auto" w:fill="auto"/>
            <w:noWrap w:val="0"/>
            <w:vAlign w:val="center"/>
          </w:tcPr>
          <w:p w14:paraId="60D9C28D">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4FB1A8D5">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678C8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7301A357">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2</w:t>
            </w:r>
          </w:p>
        </w:tc>
        <w:tc>
          <w:tcPr>
            <w:tcW w:w="412" w:type="pct"/>
            <w:shd w:val="clear" w:color="auto" w:fill="auto"/>
            <w:noWrap w:val="0"/>
            <w:tcMar>
              <w:top w:w="13" w:type="dxa"/>
              <w:left w:w="57" w:type="dxa"/>
              <w:bottom w:w="0" w:type="dxa"/>
              <w:right w:w="57" w:type="dxa"/>
            </w:tcMar>
            <w:vAlign w:val="center"/>
          </w:tcPr>
          <w:p w14:paraId="742BD264">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基础信息管理系统升级</w:t>
            </w:r>
          </w:p>
        </w:tc>
        <w:tc>
          <w:tcPr>
            <w:tcW w:w="3562" w:type="pct"/>
            <w:gridSpan w:val="2"/>
            <w:shd w:val="clear" w:color="auto" w:fill="auto"/>
            <w:noWrap w:val="0"/>
            <w:tcMar>
              <w:top w:w="13" w:type="dxa"/>
              <w:left w:w="57" w:type="dxa"/>
              <w:bottom w:w="0" w:type="dxa"/>
              <w:right w:w="57" w:type="dxa"/>
            </w:tcMar>
            <w:vAlign w:val="center"/>
          </w:tcPr>
          <w:p w14:paraId="67002688">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校信息：提供学校基本信息设置功能，管理员可在系统中设置学校中文名称、学校英文名称、学校代码、建校日期、学校地址等学校基本信息；提供校长信息设置功能，管理员可在系统中添加不同任职日期区间的校长信息，包含校长姓名、英文姓名、任职日期区间信息；系统打印学位证明等材料时，如需输出校长信息，系统能够自动匹配学生在校期间对应的校长信息输出到报表上；</w:t>
            </w:r>
          </w:p>
          <w:p w14:paraId="3242CE7B">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部门机构管理：增加汇总查看各部门可支配的教学资源（如教师数量及明细）、汇总查看各开课部门的开课数量及明细等内容。</w:t>
            </w:r>
          </w:p>
          <w:p w14:paraId="1272A96E">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班级管理：提供班级分组名单管理功能，可以批量管理学期教学过程中形成的分组教学班学生名单；支持春季招生管理，满足班级春季招生学生的培养计划及毕业审核管理需求；</w:t>
            </w:r>
          </w:p>
          <w:p w14:paraId="51AAFE87">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教学场地管理：提供教学楼管理功能，对学校教学楼的名称、所在校区或位置、内设教学场地数量进行管理，以便相关人员可以快速了解教室所在方位，可汇总查看各教学楼的教室数量及明细。</w:t>
            </w:r>
          </w:p>
          <w:p w14:paraId="570F8AB0">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课程信息</w:t>
            </w:r>
          </w:p>
          <w:p w14:paraId="3246DB32">
            <w:pPr>
              <w:numPr>
                <w:ilvl w:val="0"/>
                <w:numId w:val="0"/>
              </w:numPr>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课程生命周期管理功能：提供课程发展过程中版本迭代管理功能，实现对课程的产生、发展规划、改革、评估、消亡等一系列状态的管理在基础数据架构层面实现课程生命周期各阶段数据的一致性和可替代性的自动化管理；</w:t>
            </w:r>
          </w:p>
          <w:p w14:paraId="429B3227">
            <w:pPr>
              <w:numPr>
                <w:ilvl w:val="0"/>
                <w:numId w:val="12"/>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课程平台管理</w:t>
            </w:r>
          </w:p>
          <w:p w14:paraId="27FDFFB7">
            <w:pPr>
              <w:numPr>
                <w:ilvl w:val="0"/>
                <w:numId w:val="13"/>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授课计划标准：对课程讲授的内容进行详细的量化管理，包括每次课的教学环节、学时数、要求使用的教学功能区、教学模式、授课内容等信息；</w:t>
            </w:r>
          </w:p>
          <w:p w14:paraId="103B45D7">
            <w:pPr>
              <w:numPr>
                <w:ilvl w:val="0"/>
                <w:numId w:val="13"/>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课程大纲管理：能够对课程教学内容、参考资料、考核要求（评价方式及分值）、教学方式方法等内容进行维护和管理；</w:t>
            </w:r>
          </w:p>
          <w:p w14:paraId="41430FC3">
            <w:pPr>
              <w:numPr>
                <w:ilvl w:val="0"/>
                <w:numId w:val="13"/>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实验项目管理：由教研室负责人对该课程平台相关的实验项目进行维护，在学期教学安排过程中能够自动匹配实验项目，减少审核审批工作量；</w:t>
            </w:r>
          </w:p>
          <w:p w14:paraId="3C2ADF96">
            <w:pPr>
              <w:numPr>
                <w:ilvl w:val="0"/>
                <w:numId w:val="13"/>
              </w:numPr>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课程指导教材管理：由教研室负责人对该课程平台使用的指导教材进行维护，在学期教学安排过程中时能够自动引用该教材做为默认教材，减少审核审批工作量；</w:t>
            </w:r>
          </w:p>
          <w:p w14:paraId="5F9BD753">
            <w:pPr>
              <w:numPr>
                <w:ilvl w:val="0"/>
                <w:numId w:val="12"/>
              </w:numPr>
              <w:ind w:left="0" w:leftChars="0" w:firstLine="420"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学年学期管理：提供学年学期自动增加功能，可以按照年度推进自动增加所需的学年学期。</w:t>
            </w:r>
          </w:p>
        </w:tc>
        <w:tc>
          <w:tcPr>
            <w:tcW w:w="385" w:type="pct"/>
            <w:shd w:val="clear" w:color="auto" w:fill="auto"/>
            <w:noWrap w:val="0"/>
            <w:vAlign w:val="center"/>
          </w:tcPr>
          <w:p w14:paraId="4852B890">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3C7B0BB0">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621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71EEE158">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3</w:t>
            </w:r>
          </w:p>
        </w:tc>
        <w:tc>
          <w:tcPr>
            <w:tcW w:w="412" w:type="pct"/>
            <w:shd w:val="clear" w:color="auto" w:fill="auto"/>
            <w:noWrap w:val="0"/>
            <w:tcMar>
              <w:top w:w="13" w:type="dxa"/>
              <w:left w:w="57" w:type="dxa"/>
              <w:bottom w:w="0" w:type="dxa"/>
              <w:right w:w="57" w:type="dxa"/>
            </w:tcMar>
            <w:vAlign w:val="center"/>
          </w:tcPr>
          <w:p w14:paraId="1C252DFF">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教师管理系统升级</w:t>
            </w:r>
          </w:p>
        </w:tc>
        <w:tc>
          <w:tcPr>
            <w:tcW w:w="3562" w:type="pct"/>
            <w:gridSpan w:val="2"/>
            <w:shd w:val="clear" w:color="auto" w:fill="auto"/>
            <w:noWrap w:val="0"/>
            <w:tcMar>
              <w:top w:w="13" w:type="dxa"/>
              <w:left w:w="57" w:type="dxa"/>
              <w:bottom w:w="0" w:type="dxa"/>
              <w:right w:w="57" w:type="dxa"/>
            </w:tcMar>
            <w:vAlign w:val="center"/>
          </w:tcPr>
          <w:p w14:paraId="175CD61F">
            <w:pPr>
              <w:numPr>
                <w:ilvl w:val="0"/>
                <w:numId w:val="14"/>
              </w:numPr>
              <w:ind w:left="5" w:leftChars="0" w:firstLine="41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提供教师学科学位管理功能，可录入教师学科门类、学位等信息，支持附件材料上传；</w:t>
            </w:r>
          </w:p>
          <w:p w14:paraId="677A2B4E">
            <w:pPr>
              <w:numPr>
                <w:ilvl w:val="0"/>
                <w:numId w:val="14"/>
              </w:numPr>
              <w:ind w:left="5" w:leftChars="0" w:firstLine="415"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提供新增教师、教师信息变动的申办与审核流程；</w:t>
            </w:r>
          </w:p>
          <w:p w14:paraId="21D26D39">
            <w:pPr>
              <w:numPr>
                <w:ilvl w:val="0"/>
                <w:numId w:val="14"/>
              </w:numPr>
              <w:ind w:left="5" w:leftChars="0" w:firstLine="415"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提供教师授课情况检查功能，管理员可设定各职称学期授课学时要求，系统能够查询任一学期有授课、无授课或授课学时不达标的教师明细，可对授课学时不达标教师发送预警消息。</w:t>
            </w:r>
          </w:p>
        </w:tc>
        <w:tc>
          <w:tcPr>
            <w:tcW w:w="385" w:type="pct"/>
            <w:shd w:val="clear" w:color="auto" w:fill="auto"/>
            <w:noWrap w:val="0"/>
            <w:vAlign w:val="center"/>
          </w:tcPr>
          <w:p w14:paraId="2B1F34FB">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55B8BE7D">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576A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540DB68F">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4</w:t>
            </w:r>
          </w:p>
        </w:tc>
        <w:tc>
          <w:tcPr>
            <w:tcW w:w="412" w:type="pct"/>
            <w:shd w:val="clear" w:color="auto" w:fill="auto"/>
            <w:noWrap w:val="0"/>
            <w:tcMar>
              <w:top w:w="13" w:type="dxa"/>
              <w:left w:w="57" w:type="dxa"/>
              <w:bottom w:w="0" w:type="dxa"/>
              <w:right w:w="57" w:type="dxa"/>
            </w:tcMar>
            <w:vAlign w:val="center"/>
          </w:tcPr>
          <w:p w14:paraId="5F0861D4">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培养方案管理升级</w:t>
            </w:r>
          </w:p>
        </w:tc>
        <w:tc>
          <w:tcPr>
            <w:tcW w:w="3562" w:type="pct"/>
            <w:gridSpan w:val="2"/>
            <w:shd w:val="clear" w:color="auto" w:fill="auto"/>
            <w:noWrap w:val="0"/>
            <w:tcMar>
              <w:top w:w="13" w:type="dxa"/>
              <w:left w:w="57" w:type="dxa"/>
              <w:bottom w:w="0" w:type="dxa"/>
              <w:right w:w="57" w:type="dxa"/>
            </w:tcMar>
            <w:vAlign w:val="center"/>
          </w:tcPr>
          <w:p w14:paraId="387E2640">
            <w:pPr>
              <w:numPr>
                <w:ilvl w:val="0"/>
                <w:numId w:val="15"/>
              </w:numPr>
              <w:ind w:left="5" w:leftChars="0" w:firstLine="415" w:firstLineChars="0"/>
              <w:rPr>
                <w:rFonts w:hint="eastAsia" w:ascii="宋体" w:hAnsi="宋体" w:eastAsia="宋体" w:cs="宋体"/>
              </w:rPr>
            </w:pPr>
            <w:r>
              <w:rPr>
                <w:rFonts w:hint="eastAsia" w:ascii="宋体" w:hAnsi="宋体" w:eastAsia="宋体" w:cs="宋体"/>
              </w:rPr>
              <w:t>教学计划制定应支持春季招生管理，满足培养方案建议学期到教学计划实际开设学期的无缝转换；</w:t>
            </w:r>
          </w:p>
          <w:p w14:paraId="45F90620">
            <w:pPr>
              <w:numPr>
                <w:ilvl w:val="0"/>
                <w:numId w:val="15"/>
              </w:numPr>
              <w:ind w:left="5" w:firstLine="415"/>
              <w:rPr>
                <w:rFonts w:hint="eastAsia" w:ascii="宋体" w:hAnsi="宋体" w:cs="宋体"/>
              </w:rPr>
            </w:pPr>
            <w:commentRangeStart w:id="2"/>
            <w:r>
              <w:rPr>
                <w:rFonts w:hint="eastAsia" w:ascii="宋体" w:hAnsi="宋体" w:cs="宋体"/>
              </w:rPr>
              <w:t>授课资格管理</w:t>
            </w:r>
          </w:p>
          <w:p w14:paraId="7D6CC7C6">
            <w:pPr>
              <w:ind w:firstLine="480"/>
              <w:rPr>
                <w:rFonts w:hint="eastAsia" w:ascii="宋体" w:hAnsi="宋体" w:cs="宋体"/>
              </w:rPr>
            </w:pPr>
            <w:r>
              <w:rPr>
                <w:rFonts w:hint="eastAsia" w:ascii="宋体" w:hAnsi="宋体" w:cs="宋体"/>
              </w:rPr>
              <w:t>授课教师招募：提供授课教师招募功能，系统能够自动统计执行计划各学期各课程平台的上课班级数，各课程平台已获得授课资格的教师人数，需要招募授课教师的，可设置课程大纲、招募人数及招募要求、开放报名时间段等信息，开放由教师线上报名。</w:t>
            </w:r>
          </w:p>
          <w:p w14:paraId="5138E214">
            <w:pPr>
              <w:ind w:firstLine="480"/>
              <w:rPr>
                <w:rFonts w:hint="eastAsia" w:ascii="宋体" w:hAnsi="宋体" w:cs="宋体"/>
              </w:rPr>
            </w:pPr>
            <w:r>
              <w:rPr>
                <w:rFonts w:hint="eastAsia" w:ascii="宋体" w:hAnsi="宋体" w:cs="宋体"/>
              </w:rPr>
              <w:t>授课教师审核：教师线上提交授课资格申请，管理员可查询、审核授课教师申请情况，为申请教师安排试讲，支持录入试讲时间、试讲地点、试讲分数、试讲排名、附件材料等内容；</w:t>
            </w:r>
          </w:p>
          <w:p w14:paraId="0E45E984">
            <w:pPr>
              <w:numPr>
                <w:ilvl w:val="0"/>
                <w:numId w:val="15"/>
              </w:numPr>
              <w:ind w:left="5" w:firstLine="415"/>
              <w:rPr>
                <w:rFonts w:hint="eastAsia" w:ascii="宋体" w:hAnsi="宋体" w:cs="宋体"/>
              </w:rPr>
            </w:pPr>
            <w:r>
              <w:rPr>
                <w:rFonts w:hint="eastAsia" w:ascii="宋体" w:hAnsi="宋体" w:cs="宋体"/>
              </w:rPr>
              <w:t>培养方案在线管理功能</w:t>
            </w:r>
          </w:p>
          <w:p w14:paraId="2B1C3509">
            <w:pPr>
              <w:ind w:firstLine="480"/>
              <w:rPr>
                <w:rFonts w:hint="eastAsia" w:ascii="宋体" w:hAnsi="宋体" w:cs="宋体"/>
              </w:rPr>
            </w:pPr>
            <w:r>
              <w:rPr>
                <w:rFonts w:hint="eastAsia" w:ascii="宋体" w:hAnsi="宋体" w:cs="宋体"/>
              </w:rPr>
              <w:t>为了满足培养方案在线管理的需求，通过信息化平台来创建、编辑、存储、共享和输出打印培养方案。</w:t>
            </w:r>
            <w:commentRangeEnd w:id="2"/>
            <w:r>
              <w:commentReference w:id="2"/>
            </w:r>
          </w:p>
          <w:p w14:paraId="51BEBA91"/>
          <w:p w14:paraId="5CFB7B34">
            <w:pPr>
              <w:numPr>
                <w:ilvl w:val="0"/>
                <w:numId w:val="15"/>
              </w:numPr>
              <w:ind w:left="5" w:leftChars="0" w:firstLine="415" w:firstLineChars="0"/>
              <w:rPr>
                <w:rFonts w:hint="eastAsia" w:ascii="宋体" w:hAnsi="宋体" w:eastAsia="宋体" w:cs="宋体"/>
              </w:rPr>
            </w:pPr>
            <w:r>
              <w:rPr>
                <w:rFonts w:hint="eastAsia" w:ascii="宋体" w:hAnsi="宋体" w:eastAsia="宋体" w:cs="宋体"/>
              </w:rPr>
              <w:t>增加：现在各个班级培养方案中的课程是大学英语，而大学日语涉及全校各个专业的高考日语考生，不能做成培养方案，只能按照选修课的模式做，但是是必修，毕业资格审核、包括学业清理，都需要人工去辨别，看是否有办法处理。</w:t>
            </w:r>
          </w:p>
          <w:p w14:paraId="5393C721">
            <w:pPr>
              <w:numPr>
                <w:ilvl w:val="0"/>
                <w:numId w:val="15"/>
              </w:numPr>
              <w:ind w:left="5" w:leftChars="0" w:firstLine="415"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eastAsia="宋体" w:cs="宋体"/>
              </w:rPr>
              <w:t>增加：针对每年的新生，公司反馈都需要在教学计划制定，适用对象里，再点击适用班级，然后手动添加适用班级，每学年新生涉及50、60左右条培养计划，都需要手动添加，可以优化。</w:t>
            </w:r>
          </w:p>
        </w:tc>
        <w:tc>
          <w:tcPr>
            <w:tcW w:w="385" w:type="pct"/>
            <w:shd w:val="clear" w:color="auto" w:fill="auto"/>
            <w:noWrap w:val="0"/>
            <w:vAlign w:val="center"/>
          </w:tcPr>
          <w:p w14:paraId="7DC432E5">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2516C4E1">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1296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0BB65860">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5</w:t>
            </w:r>
          </w:p>
        </w:tc>
        <w:tc>
          <w:tcPr>
            <w:tcW w:w="412" w:type="pct"/>
            <w:shd w:val="clear" w:color="auto" w:fill="auto"/>
            <w:noWrap w:val="0"/>
            <w:tcMar>
              <w:top w:w="13" w:type="dxa"/>
              <w:left w:w="57" w:type="dxa"/>
              <w:bottom w:w="0" w:type="dxa"/>
              <w:right w:w="57" w:type="dxa"/>
            </w:tcMar>
            <w:vAlign w:val="center"/>
          </w:tcPr>
          <w:p w14:paraId="663FD443">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排课管理系统升级</w:t>
            </w:r>
          </w:p>
        </w:tc>
        <w:tc>
          <w:tcPr>
            <w:tcW w:w="3562" w:type="pct"/>
            <w:gridSpan w:val="2"/>
            <w:shd w:val="clear" w:color="auto" w:fill="auto"/>
            <w:noWrap w:val="0"/>
            <w:tcMar>
              <w:top w:w="13" w:type="dxa"/>
              <w:left w:w="57" w:type="dxa"/>
              <w:bottom w:w="0" w:type="dxa"/>
              <w:right w:w="57" w:type="dxa"/>
            </w:tcMar>
            <w:vAlign w:val="center"/>
          </w:tcPr>
          <w:p w14:paraId="6913F98C">
            <w:pPr>
              <w:numPr>
                <w:ilvl w:val="0"/>
                <w:numId w:val="16"/>
              </w:numPr>
              <w:spacing w:line="240" w:lineRule="auto"/>
              <w:ind w:left="0" w:leftChars="0" w:firstLine="420" w:firstLineChars="0"/>
              <w:rPr>
                <w:rFonts w:hint="eastAsia" w:ascii="宋体" w:hAnsi="宋体" w:eastAsia="宋体" w:cs="宋体"/>
                <w:strike w:val="0"/>
                <w:dstrike w:val="0"/>
                <w:color w:val="FF0000"/>
                <w:szCs w:val="21"/>
                <w:highlight w:val="none"/>
              </w:rPr>
            </w:pPr>
            <w:commentRangeStart w:id="3"/>
            <w:r>
              <w:rPr>
                <w:rFonts w:hint="eastAsia" w:ascii="宋体" w:hAnsi="宋体" w:eastAsia="宋体" w:cs="宋体"/>
                <w:strike w:val="0"/>
                <w:dstrike w:val="0"/>
                <w:color w:val="FF0000"/>
                <w:szCs w:val="21"/>
                <w:highlight w:val="none"/>
              </w:rPr>
              <w:t>自动编排课表：支持可视化排课，可视化网格上以不同颜色展示锁定/不排课时间、已排课表班级/教师/场地等冲突情况，可直观地选择空闲位置进行排课。</w:t>
            </w:r>
            <w:commentRangeEnd w:id="3"/>
            <w:r>
              <w:rPr>
                <w:rFonts w:hint="eastAsia" w:ascii="宋体" w:hAnsi="宋体" w:cs="宋体"/>
                <w:szCs w:val="21"/>
              </w:rPr>
              <w:commentReference w:id="3"/>
            </w:r>
          </w:p>
          <w:p w14:paraId="6FA69348">
            <w:pPr>
              <w:pStyle w:val="17"/>
              <w:numPr>
                <w:ilvl w:val="0"/>
                <w:numId w:val="16"/>
              </w:numPr>
              <w:spacing w:after="0" w:line="240" w:lineRule="auto"/>
              <w:ind w:left="0" w:leftChars="0" w:firstLine="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课表冲突明细化：增加各类课表冲突单独勾选及权限控制功能；</w:t>
            </w:r>
          </w:p>
          <w:p w14:paraId="5210D8A4">
            <w:pPr>
              <w:pStyle w:val="17"/>
              <w:numPr>
                <w:ilvl w:val="0"/>
                <w:numId w:val="16"/>
              </w:numPr>
              <w:spacing w:after="0" w:line="240" w:lineRule="auto"/>
              <w:ind w:left="0" w:leftChars="0" w:firstLine="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教学进程设置为实习、实践时，自动锁定班级排课时间，强制控制该时间不允许排课；</w:t>
            </w:r>
          </w:p>
          <w:p w14:paraId="6A418B7A">
            <w:pPr>
              <w:pStyle w:val="17"/>
              <w:numPr>
                <w:ilvl w:val="0"/>
                <w:numId w:val="16"/>
              </w:numPr>
              <w:spacing w:after="0" w:line="240" w:lineRule="auto"/>
              <w:ind w:left="0" w:leftChars="0" w:firstLine="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可以按照教学进度生成教学日历，支持设置每周第几次课为什么环节，教学进度学时满足第几次课，就自动生成对应环节的课次；</w:t>
            </w:r>
          </w:p>
          <w:p w14:paraId="2345664E">
            <w:pPr>
              <w:pStyle w:val="17"/>
              <w:numPr>
                <w:ilvl w:val="0"/>
                <w:numId w:val="16"/>
              </w:numPr>
              <w:spacing w:after="0" w:line="240" w:lineRule="auto"/>
              <w:ind w:left="0" w:leftChars="0" w:firstLine="42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提供教学日历确认功能，当老师编排课表完成时，可以确认自己的课表，确认后的课表等同锁定，这样多教师排同一门课程时不会误操作。</w:t>
            </w:r>
          </w:p>
          <w:p w14:paraId="36D53C86">
            <w:pPr>
              <w:pStyle w:val="17"/>
              <w:numPr>
                <w:ilvl w:val="0"/>
                <w:numId w:val="16"/>
              </w:numPr>
              <w:spacing w:after="0" w:line="240" w:lineRule="auto"/>
              <w:ind w:left="0" w:leftChars="0" w:firstLine="420"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教学监控，对开课任务的各类课表信息进行汇总显示，直观的查看课表编排进度，编排情况</w:t>
            </w:r>
          </w:p>
        </w:tc>
        <w:tc>
          <w:tcPr>
            <w:tcW w:w="385" w:type="pct"/>
            <w:shd w:val="clear" w:color="auto" w:fill="auto"/>
            <w:noWrap w:val="0"/>
            <w:vAlign w:val="center"/>
          </w:tcPr>
          <w:p w14:paraId="2BE8B58D">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569503EE">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1177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7C29A1B4">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6</w:t>
            </w:r>
          </w:p>
        </w:tc>
        <w:tc>
          <w:tcPr>
            <w:tcW w:w="412" w:type="pct"/>
            <w:shd w:val="clear" w:color="auto" w:fill="auto"/>
            <w:noWrap w:val="0"/>
            <w:tcMar>
              <w:top w:w="13" w:type="dxa"/>
              <w:left w:w="57" w:type="dxa"/>
              <w:bottom w:w="0" w:type="dxa"/>
              <w:right w:w="57" w:type="dxa"/>
            </w:tcMar>
            <w:vAlign w:val="center"/>
          </w:tcPr>
          <w:p w14:paraId="6E81DC21">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选课管理系统升级</w:t>
            </w:r>
          </w:p>
        </w:tc>
        <w:tc>
          <w:tcPr>
            <w:tcW w:w="3562" w:type="pct"/>
            <w:gridSpan w:val="2"/>
            <w:shd w:val="clear" w:color="auto" w:fill="auto"/>
            <w:noWrap w:val="0"/>
            <w:tcMar>
              <w:top w:w="13" w:type="dxa"/>
              <w:left w:w="57" w:type="dxa"/>
              <w:bottom w:w="0" w:type="dxa"/>
              <w:right w:w="57" w:type="dxa"/>
            </w:tcMar>
            <w:vAlign w:val="center"/>
          </w:tcPr>
          <w:p w14:paraId="7F6B5BE2">
            <w:pPr>
              <w:numPr>
                <w:ilvl w:val="0"/>
                <w:numId w:val="17"/>
              </w:numPr>
              <w:tabs>
                <w:tab w:val="clear" w:pos="0"/>
              </w:tabs>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选课控制管理：提供选课前自动检查功能，能够自动检查选课设置异常（如未设置限选对象或班级等）；</w:t>
            </w:r>
          </w:p>
          <w:p w14:paraId="488900B2">
            <w:pPr>
              <w:numPr>
                <w:ilvl w:val="0"/>
                <w:numId w:val="17"/>
              </w:numPr>
              <w:tabs>
                <w:tab w:val="clear" w:pos="0"/>
              </w:tabs>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退课管理</w:t>
            </w:r>
          </w:p>
          <w:p w14:paraId="687F9FF2">
            <w:pPr>
              <w:numPr>
                <w:ilvl w:val="1"/>
                <w:numId w:val="17"/>
              </w:numPr>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提供学生退课流程化管理功能，满足条件的学生可以提交退课申请，如本学期课程重复、学习压力过重、试读不满意等，经过审核审批后自动退出已选课程；</w:t>
            </w:r>
          </w:p>
          <w:p w14:paraId="394D0256">
            <w:pPr>
              <w:numPr>
                <w:ilvl w:val="1"/>
                <w:numId w:val="17"/>
              </w:numPr>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对于课程重复或已有成绩类型退课申请，能够根据系统中已有数据进行判断，自动审批通过；</w:t>
            </w:r>
          </w:p>
          <w:p w14:paraId="300E1651">
            <w:pPr>
              <w:numPr>
                <w:ilvl w:val="0"/>
                <w:numId w:val="17"/>
              </w:numPr>
              <w:tabs>
                <w:tab w:val="clear" w:pos="0"/>
              </w:tabs>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免听管理</w:t>
            </w:r>
          </w:p>
          <w:p w14:paraId="3E8A7658">
            <w:pPr>
              <w:numPr>
                <w:ilvl w:val="1"/>
                <w:numId w:val="17"/>
              </w:numPr>
              <w:ind w:left="0" w:leftChars="0" w:firstLine="2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系统提供免听管理流程，针对本学期所上课程，学生可以提交课程免听申请或课次免听申请；</w:t>
            </w:r>
          </w:p>
          <w:p w14:paraId="4BD0BCCD">
            <w:pPr>
              <w:numPr>
                <w:ilvl w:val="1"/>
                <w:numId w:val="17"/>
              </w:numPr>
              <w:ind w:left="0" w:leftChars="0" w:firstLine="220" w:firstLineChars="0"/>
              <w:rPr>
                <w:rFonts w:hint="eastAsia" w:asciiTheme="minorEastAsia" w:hAnsiTheme="minorEastAsia" w:eastAsiaTheme="minorEastAsia" w:cstheme="minorEastAsia"/>
                <w:color w:val="auto"/>
                <w:kern w:val="2"/>
                <w:sz w:val="21"/>
                <w:szCs w:val="21"/>
                <w:highlight w:val="none"/>
                <w:u w:val="none"/>
                <w:lang w:val="en-US" w:eastAsia="zh-CN" w:bidi="ar"/>
              </w:rPr>
            </w:pPr>
            <w:r>
              <w:rPr>
                <w:rFonts w:hint="eastAsia" w:asciiTheme="minorEastAsia" w:hAnsiTheme="minorEastAsia" w:eastAsiaTheme="minorEastAsia" w:cstheme="minorEastAsia"/>
                <w:color w:val="auto"/>
                <w:highlight w:val="none"/>
              </w:rPr>
              <w:t>支持自定义免听申请审核流程，学生免听申请审核通过后，考勤记录自动排除通过免听申请的学生。</w:t>
            </w:r>
          </w:p>
          <w:p w14:paraId="52F9200B">
            <w:pPr>
              <w:numPr>
                <w:ilvl w:val="0"/>
                <w:numId w:val="17"/>
              </w:numPr>
              <w:tabs>
                <w:tab w:val="clear" w:pos="0"/>
              </w:tabs>
              <w:ind w:left="0" w:leftChars="0" w:firstLine="220" w:firstLineChars="0"/>
              <w:rPr>
                <w:rFonts w:hint="eastAsia" w:asciiTheme="minorEastAsia" w:hAnsiTheme="minorEastAsia" w:eastAsiaTheme="minorEastAsia" w:cstheme="minorEastAsia"/>
                <w:color w:val="auto"/>
                <w:kern w:val="2"/>
                <w:sz w:val="21"/>
                <w:szCs w:val="21"/>
                <w:highlight w:val="none"/>
                <w:u w:val="none"/>
                <w:lang w:val="en-US" w:eastAsia="zh-CN" w:bidi="ar"/>
              </w:rPr>
            </w:pPr>
            <w:commentRangeStart w:id="4"/>
            <w:r>
              <w:rPr>
                <w:rFonts w:hint="eastAsia" w:asciiTheme="minorEastAsia" w:hAnsiTheme="minorEastAsia" w:eastAsiaTheme="minorEastAsia" w:cstheme="minorEastAsia"/>
                <w:color w:val="auto"/>
                <w:kern w:val="2"/>
                <w:sz w:val="21"/>
                <w:szCs w:val="22"/>
                <w:highlight w:val="none"/>
                <w:u w:val="none"/>
                <w:lang w:val="en-US" w:eastAsia="zh-CN" w:bidi="ar"/>
              </w:rPr>
              <w:t>学生考勤管理</w:t>
            </w:r>
          </w:p>
          <w:p w14:paraId="4EC70A0B">
            <w:pPr>
              <w:numPr>
                <w:ilvl w:val="1"/>
                <w:numId w:val="17"/>
              </w:numPr>
              <w:ind w:left="0" w:leftChars="0" w:firstLine="220" w:firstLineChars="0"/>
              <w:rPr>
                <w:rFonts w:hint="eastAsia" w:asciiTheme="minorEastAsia" w:hAnsiTheme="minorEastAsia" w:eastAsiaTheme="minorEastAsia" w:cstheme="minorEastAsia"/>
                <w:color w:val="auto"/>
                <w:kern w:val="2"/>
                <w:sz w:val="21"/>
                <w:szCs w:val="21"/>
                <w:highlight w:val="none"/>
                <w:u w:val="none"/>
                <w:lang w:val="en-US" w:eastAsia="zh-CN" w:bidi="ar"/>
              </w:rPr>
            </w:pPr>
            <w:r>
              <w:rPr>
                <w:rFonts w:hint="eastAsia" w:asciiTheme="minorEastAsia" w:hAnsiTheme="minorEastAsia" w:eastAsiaTheme="minorEastAsia" w:cstheme="minorEastAsia"/>
                <w:color w:val="auto"/>
                <w:kern w:val="2"/>
                <w:sz w:val="21"/>
                <w:szCs w:val="21"/>
                <w:highlight w:val="none"/>
                <w:u w:val="none"/>
                <w:lang w:val="en-US" w:eastAsia="zh-CN" w:bidi="ar"/>
              </w:rPr>
              <w:t>提供学生考勤数据管理功能，教师或辅导员可以录入或导入考勤结果；系统自动根据各考勤类型扣分权重算出学生的考勤得分。教师录入课程成绩时，支持直接获取学生考勤得分作为学生的分项成绩。</w:t>
            </w:r>
          </w:p>
          <w:p w14:paraId="3F964430">
            <w:pPr>
              <w:numPr>
                <w:ilvl w:val="1"/>
                <w:numId w:val="17"/>
              </w:numPr>
              <w:ind w:left="0" w:leftChars="0" w:firstLine="220" w:firstLineChars="0"/>
              <w:rPr>
                <w:rFonts w:hint="eastAsia" w:asciiTheme="minorEastAsia" w:hAnsiTheme="minorEastAsia" w:eastAsiaTheme="minorEastAsia" w:cstheme="minorEastAsia"/>
                <w:color w:val="auto"/>
                <w:kern w:val="2"/>
                <w:sz w:val="21"/>
                <w:szCs w:val="21"/>
                <w:highlight w:val="none"/>
                <w:u w:val="none"/>
                <w:lang w:val="en-US" w:eastAsia="zh-CN" w:bidi="ar"/>
              </w:rPr>
            </w:pPr>
            <w:r>
              <w:rPr>
                <w:rFonts w:hint="eastAsia" w:asciiTheme="minorEastAsia" w:hAnsiTheme="minorEastAsia" w:eastAsiaTheme="minorEastAsia" w:cstheme="minorEastAsia"/>
                <w:color w:val="auto"/>
                <w:kern w:val="2"/>
                <w:sz w:val="21"/>
                <w:szCs w:val="21"/>
                <w:highlight w:val="none"/>
                <w:u w:val="none"/>
                <w:lang w:val="en-US" w:eastAsia="zh-CN" w:bidi="ar"/>
              </w:rPr>
              <w:t>支持与外部考勤系统对接，为外部系统考勤提供数据来源，回收外部系统的考勤结果；</w:t>
            </w:r>
          </w:p>
          <w:p w14:paraId="0F5D7152">
            <w:pPr>
              <w:numPr>
                <w:ilvl w:val="-1"/>
                <w:numId w:val="0"/>
              </w:numPr>
              <w:ind w:left="420" w:firstLine="0"/>
              <w:rPr>
                <w:rFonts w:hint="eastAsia" w:asciiTheme="minorEastAsia" w:hAnsiTheme="minorEastAsia" w:eastAsiaTheme="minorEastAsia" w:cstheme="minorEastAsia"/>
                <w:color w:val="auto"/>
                <w:kern w:val="2"/>
                <w:sz w:val="21"/>
                <w:szCs w:val="21"/>
                <w:highlight w:val="none"/>
                <w:u w:val="none"/>
                <w:lang w:val="en-US" w:eastAsia="zh-CN" w:bidi="ar"/>
              </w:rPr>
            </w:pPr>
            <w:r>
              <w:rPr>
                <w:rFonts w:hint="eastAsia" w:asciiTheme="minorEastAsia" w:hAnsiTheme="minorEastAsia" w:eastAsiaTheme="minorEastAsia" w:cstheme="minorEastAsia"/>
                <w:color w:val="auto"/>
                <w:kern w:val="2"/>
                <w:sz w:val="21"/>
                <w:szCs w:val="21"/>
                <w:highlight w:val="none"/>
                <w:u w:val="none"/>
                <w:lang w:val="en-US" w:eastAsia="zh-CN" w:bidi="ar"/>
              </w:rPr>
              <w:t>支持自定义考勤类型字典表，及各考勤类型扣分权重。</w:t>
            </w:r>
            <w:commentRangeEnd w:id="4"/>
            <w:r>
              <w:commentReference w:id="4"/>
            </w:r>
          </w:p>
        </w:tc>
        <w:tc>
          <w:tcPr>
            <w:tcW w:w="385" w:type="pct"/>
            <w:shd w:val="clear" w:color="auto" w:fill="auto"/>
            <w:noWrap w:val="0"/>
            <w:vAlign w:val="center"/>
          </w:tcPr>
          <w:p w14:paraId="04D5D6DB">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2584D40B">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1514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0A2C5DB1">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7</w:t>
            </w:r>
          </w:p>
        </w:tc>
        <w:tc>
          <w:tcPr>
            <w:tcW w:w="412" w:type="pct"/>
            <w:shd w:val="clear" w:color="auto" w:fill="auto"/>
            <w:noWrap w:val="0"/>
            <w:tcMar>
              <w:top w:w="13" w:type="dxa"/>
              <w:left w:w="57" w:type="dxa"/>
              <w:bottom w:w="0" w:type="dxa"/>
              <w:right w:w="57" w:type="dxa"/>
            </w:tcMar>
            <w:vAlign w:val="center"/>
          </w:tcPr>
          <w:p w14:paraId="77FE216B">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考务管理系统升级</w:t>
            </w:r>
          </w:p>
        </w:tc>
        <w:tc>
          <w:tcPr>
            <w:tcW w:w="3562" w:type="pct"/>
            <w:gridSpan w:val="2"/>
            <w:shd w:val="clear" w:color="auto" w:fill="auto"/>
            <w:noWrap w:val="0"/>
            <w:tcMar>
              <w:top w:w="13" w:type="dxa"/>
              <w:left w:w="57" w:type="dxa"/>
              <w:bottom w:w="0" w:type="dxa"/>
              <w:right w:w="57" w:type="dxa"/>
            </w:tcMar>
            <w:vAlign w:val="center"/>
          </w:tcPr>
          <w:p w14:paraId="22B65B35">
            <w:r>
              <w:rPr>
                <w:rFonts w:hint="eastAsia" w:asciiTheme="minorEastAsia" w:hAnsiTheme="minorEastAsia" w:eastAsiaTheme="minorEastAsia" w:cstheme="minorEastAsia"/>
                <w:color w:val="auto"/>
                <w:highlight w:val="none"/>
              </w:rPr>
              <w:t>考场编排管理：各种校内考试和校外考试编排时，支持分学院按课程或结课周次跨开课校区编排考试，支持考试编排规则设置功能；</w:t>
            </w:r>
          </w:p>
          <w:p w14:paraId="2CFA39A9">
            <w:pPr>
              <w:numPr>
                <w:ilvl w:val="0"/>
                <w:numId w:val="18"/>
              </w:numPr>
              <w:ind w:left="0" w:leftChars="0"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考试安排查询功能：支持对已编排未发布考试支持跨学院各排考人查询；</w:t>
            </w:r>
          </w:p>
          <w:p w14:paraId="20ED2CFB">
            <w:pPr>
              <w:numPr>
                <w:ilvl w:val="0"/>
                <w:numId w:val="18"/>
              </w:numPr>
              <w:ind w:left="0" w:leftChars="0"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对已编排考试是否遵守编排规则查询功能；考试安排和课程安排在同一界面呈现查询信息；</w:t>
            </w:r>
          </w:p>
          <w:p w14:paraId="703228C1">
            <w:pPr>
              <w:numPr>
                <w:ilvl w:val="0"/>
                <w:numId w:val="18"/>
              </w:numPr>
              <w:ind w:left="5" w:firstLine="41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考试发布时向相关学生和监考推送信息，并与考试前一天推送提醒信息考场编排管理：提供考场预编排功能，可以对考试周统考、补考等大批量的考试进行预编排，计算所需要的场次及各场次对应的考试任务，依据预编排结果快速完成考场编排；</w:t>
            </w:r>
          </w:p>
          <w:p w14:paraId="05F5BA36">
            <w:pPr>
              <w:numPr>
                <w:ilvl w:val="0"/>
                <w:numId w:val="18"/>
              </w:numPr>
              <w:ind w:left="5" w:firstLine="41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考试安排变动</w:t>
            </w:r>
          </w:p>
          <w:p w14:paraId="49822281">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提供对异动学生的考试任务进行处理的功能，可查询学生异动明细、考试安排信息，对异动学生的考试安排进行处理。</w:t>
            </w:r>
          </w:p>
          <w:p w14:paraId="7E2D5049">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提供监考变更流程化管理功能，能够查询、审核监考教师提交上来的监考变更申请，审核通过后自动生效。</w:t>
            </w:r>
          </w:p>
          <w:p w14:paraId="74BD52C9">
            <w:pPr>
              <w:numPr>
                <w:ilvl w:val="0"/>
                <w:numId w:val="18"/>
              </w:numPr>
              <w:ind w:left="5" w:firstLine="415"/>
              <w:rPr>
                <w:rFonts w:hint="eastAsia" w:asciiTheme="minorEastAsia" w:hAnsiTheme="minorEastAsia" w:eastAsiaTheme="minorEastAsia" w:cstheme="minorEastAsia"/>
                <w:color w:val="auto"/>
                <w:highlight w:val="none"/>
              </w:rPr>
            </w:pPr>
            <w:commentRangeStart w:id="5"/>
            <w:r>
              <w:rPr>
                <w:rFonts w:hint="eastAsia" w:asciiTheme="minorEastAsia" w:hAnsiTheme="minorEastAsia" w:eastAsiaTheme="minorEastAsia" w:cstheme="minorEastAsia"/>
                <w:color w:val="auto"/>
                <w:highlight w:val="none"/>
              </w:rPr>
              <w:t>试卷申报管理</w:t>
            </w:r>
          </w:p>
          <w:p w14:paraId="3D68D702">
            <w:pPr>
              <w:ind w:firstLine="480"/>
              <w:rPr>
                <w:rFonts w:ascii="宋体" w:hAnsi="宋体" w:eastAsia="宋体"/>
                <w:color w:val="FF0000"/>
                <w:highlight w:val="none"/>
              </w:rPr>
            </w:pPr>
            <w:r>
              <w:rPr>
                <w:rFonts w:hint="eastAsia"/>
                <w:color w:val="FF0000"/>
                <w:highlight w:val="none"/>
              </w:rPr>
              <w:t>系统提供试卷申报管理功能，教师可以在线提交试卷申报，试卷申报内容包括：试卷名称、试卷编号、试卷适用专业范围、试卷总分、卷套（A卷/B卷/C卷）试卷份数、试卷张数、试卷袋数、答题卡份数、䓍稿纸份数、试卷袋封皮数、送印日期、承印日期、交付日期、试卷来源（试题库、试卷库、校内统一命题、校外教师命题、任课教师命题等）、考试时长、阅卷方式（电脑阅卷、流水阅卷、任课教师阅卷等）支持直接上传试卷图片或试卷文件。</w:t>
            </w:r>
          </w:p>
          <w:p w14:paraId="7A0D48C1">
            <w:pPr>
              <w:pStyle w:val="17"/>
              <w:ind w:firstLine="480"/>
              <w:rPr>
                <w:rFonts w:eastAsia="宋体"/>
                <w:highlight w:val="yellow"/>
              </w:rPr>
            </w:pPr>
            <w:r>
              <w:rPr>
                <w:rFonts w:hint="eastAsia" w:ascii="宋体" w:hAnsi="宋体" w:eastAsia="宋体"/>
                <w:highlight w:val="yellow"/>
              </w:rPr>
              <w:t>特别备注：试卷申报管理环节应只有相关学院被授权人可查询和操作。</w:t>
            </w:r>
            <w:commentRangeEnd w:id="5"/>
            <w:r>
              <w:commentReference w:id="5"/>
            </w:r>
          </w:p>
          <w:p w14:paraId="0B3A1A7E">
            <w:pPr>
              <w:ind w:firstLine="480"/>
              <w:rPr>
                <w:rFonts w:hint="eastAsia" w:asciiTheme="minorEastAsia" w:hAnsiTheme="minorEastAsia" w:eastAsiaTheme="minorEastAsia" w:cstheme="minorEastAsia"/>
                <w:color w:val="auto"/>
                <w:kern w:val="2"/>
                <w:sz w:val="21"/>
                <w:szCs w:val="21"/>
                <w:highlight w:val="none"/>
                <w:lang w:val="en-US" w:eastAsia="zh-CN" w:bidi="ar-SA"/>
              </w:rPr>
            </w:pPr>
          </w:p>
        </w:tc>
        <w:tc>
          <w:tcPr>
            <w:tcW w:w="385" w:type="pct"/>
            <w:shd w:val="clear" w:color="auto" w:fill="auto"/>
            <w:noWrap w:val="0"/>
            <w:vAlign w:val="center"/>
          </w:tcPr>
          <w:p w14:paraId="4BF3E87E">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466BE33A">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1518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694065D6">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8</w:t>
            </w:r>
          </w:p>
        </w:tc>
        <w:tc>
          <w:tcPr>
            <w:tcW w:w="412" w:type="pct"/>
            <w:shd w:val="clear" w:color="auto" w:fill="auto"/>
            <w:noWrap w:val="0"/>
            <w:tcMar>
              <w:top w:w="13" w:type="dxa"/>
              <w:left w:w="57" w:type="dxa"/>
              <w:bottom w:w="0" w:type="dxa"/>
              <w:right w:w="57" w:type="dxa"/>
            </w:tcMar>
            <w:vAlign w:val="center"/>
          </w:tcPr>
          <w:p w14:paraId="28C4F33C">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成绩管理系统升级</w:t>
            </w:r>
          </w:p>
        </w:tc>
        <w:tc>
          <w:tcPr>
            <w:tcW w:w="3562" w:type="pct"/>
            <w:gridSpan w:val="2"/>
            <w:shd w:val="clear" w:color="auto" w:fill="auto"/>
            <w:noWrap w:val="0"/>
            <w:tcMar>
              <w:top w:w="13" w:type="dxa"/>
              <w:left w:w="57" w:type="dxa"/>
              <w:bottom w:w="0" w:type="dxa"/>
              <w:right w:w="57" w:type="dxa"/>
            </w:tcMar>
            <w:vAlign w:val="center"/>
          </w:tcPr>
          <w:p w14:paraId="64E154E5">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成绩录入控制：管理人员能够在成绩录入时间结束前向所有未完成录成绩任务的教学人员推送提醒消息，督促其尽快提交成绩；</w:t>
            </w:r>
          </w:p>
          <w:p w14:paraId="4564E83E">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成绩录入审核：支持对毕业季跟班重修学生提前录入成绩进行管理；</w:t>
            </w:r>
          </w:p>
          <w:p w14:paraId="044D3B04">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学生免考管理：提供免考流程化管理功能，学生可以提交免考申请，经管理人员审批通过后给予默认成绩；</w:t>
            </w:r>
          </w:p>
          <w:p w14:paraId="0BB5A095">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免修管理：能够分别设置各类别学生申请免修的基准成绩，如本科生70分以上同类成绩可以申请免修，留学生60分即可；针对二次降级学生，第一次降级后申请通过的免修课程可在第二次降级后继续再次申请课程免修，即之前已被标注变成免修的成绩，可继续用于申请下一次降级后的课程免修。</w:t>
            </w:r>
          </w:p>
          <w:p w14:paraId="4B70E7E5">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学生停考管理：查询、审核教师提交的学生停考申请信息，审核通过后取消学生相应考试资格。</w:t>
            </w:r>
          </w:p>
          <w:p w14:paraId="72E4B1BA">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补考管理：提供补考名单自动产生功能，在成绩入库时自动产生补考成绩，无需人工审核产生；教师录入补考成绩时，补考学生和缓考学生录分方式应保持一致，可直接导入卷面成绩后，自动根据比例折算出最终成绩。</w:t>
            </w:r>
          </w:p>
          <w:p w14:paraId="6D03EF34">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校外成绩管理：能够对转学生、交换生等学生在校外获得的成绩进行单独管理，提供录入、导入等多种提交方式；校外成绩能够用于校内成绩的转换和认定；</w:t>
            </w:r>
          </w:p>
          <w:p w14:paraId="54AD227A">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课程成绩总库：为确保成绩安全，在执行修改成绩操作时提供移动端扫码认证功能，扫码认证后才能进行相关操作。</w:t>
            </w:r>
          </w:p>
          <w:p w14:paraId="1208217A">
            <w:pPr>
              <w:numPr>
                <w:ilvl w:val="0"/>
                <w:numId w:val="19"/>
              </w:numPr>
              <w:ind w:lef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过程成绩管理：提供过程成绩管理功能，教师可以提交学期教学过程中获得的学生各种形式的成绩；</w:t>
            </w:r>
          </w:p>
          <w:p w14:paraId="39B26DB6">
            <w:pPr>
              <w:numPr>
                <w:ilvl w:val="0"/>
                <w:numId w:val="19"/>
              </w:numPr>
              <w:ind w:left="0"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成绩安全审计：能够确保成绩数据的高安全性，可发现通过后台修改方式更改的成绩数据，并能够对管理人员发送预警信息；</w:t>
            </w:r>
          </w:p>
          <w:p w14:paraId="35797CED">
            <w:pPr>
              <w:numPr>
                <w:ilvl w:val="0"/>
                <w:numId w:val="19"/>
              </w:numPr>
              <w:ind w:left="0" w:firstLine="420" w:firstLineChars="200"/>
              <w:rPr>
                <w:rFonts w:hint="eastAsia" w:asciiTheme="minorEastAsia" w:hAnsiTheme="minorEastAsia" w:eastAsiaTheme="minorEastAsia" w:cstheme="minorEastAsia"/>
                <w:color w:val="auto"/>
                <w:kern w:val="2"/>
                <w:sz w:val="21"/>
                <w:szCs w:val="21"/>
                <w:highlight w:val="none"/>
                <w:lang w:val="en-US" w:eastAsia="zh-CN" w:bidi="ar-SA"/>
              </w:rPr>
            </w:pPr>
            <w:commentRangeStart w:id="6"/>
            <w:r>
              <w:rPr>
                <w:rFonts w:hint="eastAsia" w:asciiTheme="minorEastAsia" w:hAnsiTheme="minorEastAsia" w:eastAsiaTheme="minorEastAsia" w:cstheme="minorEastAsia"/>
                <w:color w:val="auto"/>
                <w:kern w:val="2"/>
                <w:sz w:val="21"/>
                <w:szCs w:val="21"/>
                <w:highlight w:val="none"/>
                <w:lang w:val="en-US" w:eastAsia="zh-CN" w:bidi="ar-SA"/>
              </w:rPr>
              <w:t>增加：目前教师提交成绩复核无误的学生成绩后，系统四舍五入后会将学生成绩增加0.1分。应当优化为：教师录入成绩时的四舍五入机制与复核成绩提交时保持一致。）</w:t>
            </w:r>
            <w:commentRangeEnd w:id="6"/>
            <w:r>
              <w:commentReference w:id="6"/>
            </w:r>
          </w:p>
        </w:tc>
        <w:tc>
          <w:tcPr>
            <w:tcW w:w="385" w:type="pct"/>
            <w:shd w:val="clear" w:color="auto" w:fill="auto"/>
            <w:noWrap w:val="0"/>
            <w:vAlign w:val="center"/>
          </w:tcPr>
          <w:p w14:paraId="2369C8A9">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1728F403">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1632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33F021F4">
            <w:pPr>
              <w:keepNext w:val="0"/>
              <w:keepLines w:val="0"/>
              <w:widowControl/>
              <w:suppressLineNumbers w:val="0"/>
              <w:jc w:val="center"/>
              <w:textAlignment w:val="center"/>
              <w:rPr>
                <w:rFonts w:hint="eastAsia"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9</w:t>
            </w:r>
          </w:p>
        </w:tc>
        <w:tc>
          <w:tcPr>
            <w:tcW w:w="412" w:type="pct"/>
            <w:shd w:val="clear" w:color="auto" w:fill="auto"/>
            <w:noWrap w:val="0"/>
            <w:tcMar>
              <w:top w:w="13" w:type="dxa"/>
              <w:left w:w="57" w:type="dxa"/>
              <w:bottom w:w="0" w:type="dxa"/>
              <w:right w:w="57" w:type="dxa"/>
            </w:tcMar>
            <w:vAlign w:val="center"/>
          </w:tcPr>
          <w:p w14:paraId="52E7B6B9">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数据挖掘功能升级</w:t>
            </w:r>
          </w:p>
        </w:tc>
        <w:tc>
          <w:tcPr>
            <w:tcW w:w="3562" w:type="pct"/>
            <w:gridSpan w:val="2"/>
            <w:shd w:val="clear" w:color="auto" w:fill="auto"/>
            <w:noWrap w:val="0"/>
            <w:tcMar>
              <w:top w:w="13" w:type="dxa"/>
              <w:left w:w="57" w:type="dxa"/>
              <w:bottom w:w="0" w:type="dxa"/>
              <w:right w:w="57" w:type="dxa"/>
            </w:tcMar>
            <w:vAlign w:val="center"/>
          </w:tcPr>
          <w:p w14:paraId="770CBE78">
            <w:pPr>
              <w:numPr>
                <w:ilvl w:val="0"/>
                <w:numId w:val="20"/>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数据挖掘：支持自定义参数设置，允许用户按需定制查询条件，支持各类字典表、学生、院系、学期等筛选查询条件，支持限制数据权限范围（按开课院系、学生院系、教研室等），同时支持时间、数值区间等其他多种类型的参数。</w:t>
            </w:r>
          </w:p>
          <w:p w14:paraId="0F80AC93">
            <w:pPr>
              <w:numPr>
                <w:ilvl w:val="0"/>
                <w:numId w:val="20"/>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教学监控：系统实现对各单位各类工作完成情况的监控，需要对排课完成进度、教学日历录入进度、成绩录入审核进度、</w:t>
            </w:r>
            <w:commentRangeStart w:id="7"/>
            <w:r>
              <w:rPr>
                <w:rFonts w:hint="eastAsia" w:asciiTheme="minorEastAsia" w:hAnsiTheme="minorEastAsia" w:eastAsiaTheme="minorEastAsia" w:cstheme="minorEastAsia"/>
                <w:color w:val="auto"/>
                <w:highlight w:val="none"/>
              </w:rPr>
              <w:t>考试编排进度</w:t>
            </w:r>
            <w:commentRangeEnd w:id="7"/>
            <w:r>
              <w:commentReference w:id="7"/>
            </w:r>
            <w:r>
              <w:rPr>
                <w:rFonts w:hint="eastAsia" w:asciiTheme="minorEastAsia" w:hAnsiTheme="minorEastAsia" w:eastAsiaTheme="minorEastAsia" w:cstheme="minorEastAsia"/>
                <w:color w:val="auto"/>
                <w:highlight w:val="none"/>
              </w:rPr>
              <w:t>、毕业审核进度、教材填报进度进行监控，使用图表进行展示。</w:t>
            </w:r>
          </w:p>
          <w:p w14:paraId="0D823D22">
            <w:pPr>
              <w:numPr>
                <w:ilvl w:val="0"/>
                <w:numId w:val="20"/>
              </w:numPr>
              <w:ind w:left="0" w:firstLine="42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大屏监控：系统可实现将各类教学运行数据统一展示到电子轮播大屏上，大屏上可以图表形式展示当日教学运行情况，包含面向学生的学生来源信息、各学院在校生人数、各专业男女生人数及比例；面向教学的今日授课教师职称人数及比例、今日上课学生人数、各教学楼教室使用率；面向教师的在岗教师各职称人数及比例、在岗教师年龄段人数及比例；面向各单位的本周缓考/免修/调停补课办理情况、本周各学院调、停、补课人次数、本届毕业生审核结果、本学期成绩录入情况等。</w:t>
            </w:r>
          </w:p>
        </w:tc>
        <w:tc>
          <w:tcPr>
            <w:tcW w:w="385" w:type="pct"/>
            <w:shd w:val="clear" w:color="auto" w:fill="auto"/>
            <w:noWrap w:val="0"/>
            <w:vAlign w:val="center"/>
          </w:tcPr>
          <w:p w14:paraId="2FE2FBBC">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260A8E11">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68F7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4EF44D0D">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10</w:t>
            </w:r>
          </w:p>
        </w:tc>
        <w:tc>
          <w:tcPr>
            <w:tcW w:w="412" w:type="pct"/>
            <w:shd w:val="clear" w:color="auto" w:fill="auto"/>
            <w:noWrap w:val="0"/>
            <w:tcMar>
              <w:top w:w="13" w:type="dxa"/>
              <w:left w:w="57" w:type="dxa"/>
              <w:bottom w:w="0" w:type="dxa"/>
              <w:right w:w="57" w:type="dxa"/>
            </w:tcMar>
            <w:vAlign w:val="center"/>
          </w:tcPr>
          <w:p w14:paraId="58AADF04">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评价系统升级</w:t>
            </w:r>
          </w:p>
        </w:tc>
        <w:tc>
          <w:tcPr>
            <w:tcW w:w="3562" w:type="pct"/>
            <w:gridSpan w:val="2"/>
            <w:shd w:val="clear" w:color="auto" w:fill="auto"/>
            <w:noWrap w:val="0"/>
            <w:tcMar>
              <w:top w:w="13" w:type="dxa"/>
              <w:left w:w="57" w:type="dxa"/>
              <w:bottom w:w="0" w:type="dxa"/>
              <w:right w:w="57" w:type="dxa"/>
            </w:tcMar>
            <w:vAlign w:val="center"/>
          </w:tcPr>
          <w:p w14:paraId="7307DFF6">
            <w:pPr>
              <w:numPr>
                <w:ilvl w:val="0"/>
                <w:numId w:val="21"/>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评价问卷表：支持对评价人的最高评分和最低评分进行限制，不允许提交超出限定评分区间的评价；能够指定异常评分区间，位于该区间的评价人需要给出进一步说明异常评分原因；</w:t>
            </w:r>
          </w:p>
          <w:p w14:paraId="655A2D3E">
            <w:pPr>
              <w:numPr>
                <w:ilvl w:val="0"/>
                <w:numId w:val="21"/>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评价安排：能够对评价数量不达标的评价人员（督导、领导、专家等评价角色人员）发送消息通知，提醒其及时完成评价任务；</w:t>
            </w:r>
          </w:p>
          <w:p w14:paraId="424FA6D2">
            <w:pPr>
              <w:numPr>
                <w:ilvl w:val="0"/>
                <w:numId w:val="21"/>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课程评价及课堂评价报告生成功能，能够按课程自动生成参与授课教师的所有评价结果汇总表，包含学生课堂评、期末评、督导评、专家评、领导评，同时也能生成意见建议的词频云图及评价指标各维度雷达图。</w:t>
            </w:r>
          </w:p>
          <w:p w14:paraId="27A251D1">
            <w:pPr>
              <w:numPr>
                <w:ilvl w:val="0"/>
                <w:numId w:val="21"/>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在线巡课评价</w:t>
            </w:r>
          </w:p>
          <w:p w14:paraId="1B5B67C2">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统支持与教室监控系统对接，实现督导专家在线巡课评价功能，督导专家无需到上课教室，只需在PC端或移动端即可实时查看教室现场上课情况，可在同时观看面对讲台的教师授课情况及面向学生的学生课堂情况，督导专家线上听课线上评价，方便快捷。</w:t>
            </w:r>
          </w:p>
          <w:p w14:paraId="46F2BAF6">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系统同时支持限定督导专家在线听课达到一定时长后才允许进入评价界面对授课教师进行评价。</w:t>
            </w:r>
          </w:p>
          <w:p w14:paraId="6A821412">
            <w:pPr>
              <w:numPr>
                <w:ilvl w:val="0"/>
                <w:numId w:val="21"/>
              </w:numPr>
              <w:ind w:left="0"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四方评价（管理评、督导评、同行评、学生评）的每学期平均分</w:t>
            </w:r>
          </w:p>
          <w:p w14:paraId="73E702D5">
            <w:pPr>
              <w:pStyle w:val="17"/>
              <w:spacing w:after="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系统支持生成每学期四方评教的平均分，可以看全校四方评教的平均分，学院可以看各自学院的平均分。</w:t>
            </w:r>
          </w:p>
          <w:p w14:paraId="5AA48431">
            <w:pPr>
              <w:pStyle w:val="17"/>
              <w:spacing w:after="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每个老师的学生评教的平均分需要系统先去除5%最高分和5%最低分。</w:t>
            </w:r>
          </w:p>
          <w:p w14:paraId="4DE8FB43">
            <w:pPr>
              <w:numPr>
                <w:ilvl w:val="0"/>
                <w:numId w:val="21"/>
              </w:numPr>
              <w:ind w:left="5" w:firstLine="41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四方评教数据的分析</w:t>
            </w:r>
          </w:p>
          <w:p w14:paraId="2E9F677F">
            <w:pPr>
              <w:pStyle w:val="17"/>
              <w:spacing w:after="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可以通过评价系统自取某个时间段的管理评、督导评、同行评、学生评的人数，评价均分，同时导出评价具体内容，导出内容如下截图。</w:t>
            </w:r>
          </w:p>
          <w:p w14:paraId="5B296EED">
            <w:pPr>
              <w:pStyle w:val="17"/>
              <w:spacing w:after="0"/>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例如：自2025年4月12日以来，截至2025年5月12日，我校共开展听评课1945人次。开展四方评教情况为：管理干部评课22人次，占比1.1%；校级督导评课69人次，占比3.5%；同行教师评课427人次，占比21.9%；学生课堂评课1427人次，占比73.3%。</w:t>
            </w:r>
          </w:p>
          <w:p w14:paraId="287B4E30">
            <w:pPr>
              <w:pStyle w:val="17"/>
              <w:spacing w:after="0"/>
              <w:ind w:firstLine="480"/>
              <w:rPr>
                <w:rFonts w:hint="eastAsia" w:asciiTheme="minorEastAsia" w:hAnsiTheme="minorEastAsia" w:eastAsiaTheme="minorEastAsia" w:cstheme="minorEastAsia"/>
                <w:color w:val="auto"/>
                <w:highlight w:val="none"/>
                <w:lang w:val="en-US" w:eastAsia="zh-CN"/>
              </w:rPr>
            </w:pPr>
            <w:commentRangeStart w:id="8"/>
            <w:r>
              <w:drawing>
                <wp:inline distT="0" distB="0" distL="0" distR="0">
                  <wp:extent cx="3081655" cy="2315210"/>
                  <wp:effectExtent l="0" t="0" r="4445" b="8890"/>
                  <wp:docPr id="86300625" name="图片 1"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00625" name="图片 1" descr="图片包含 图示&#10;&#10;AI 生成的内容可能不正确。"/>
                          <pic:cNvPicPr>
                            <a:picLocks noChangeAspect="1"/>
                          </pic:cNvPicPr>
                        </pic:nvPicPr>
                        <pic:blipFill>
                          <a:blip r:embed="rId6"/>
                          <a:stretch>
                            <a:fillRect/>
                          </a:stretch>
                        </pic:blipFill>
                        <pic:spPr>
                          <a:xfrm>
                            <a:off x="0" y="0"/>
                            <a:ext cx="3081655" cy="2315210"/>
                          </a:xfrm>
                          <a:prstGeom prst="rect">
                            <a:avLst/>
                          </a:prstGeom>
                        </pic:spPr>
                      </pic:pic>
                    </a:graphicData>
                  </a:graphic>
                </wp:inline>
              </w:drawing>
            </w:r>
          </w:p>
          <w:p w14:paraId="588896B3">
            <w:pPr>
              <w:numPr>
                <w:ilvl w:val="0"/>
                <w:numId w:val="21"/>
              </w:numPr>
              <w:ind w:left="5" w:firstLine="415"/>
              <w:jc w:val="lef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优秀教师评选</w:t>
            </w:r>
          </w:p>
          <w:p w14:paraId="481C3D4C">
            <w:pPr>
              <w:ind w:firstLine="480"/>
            </w:pPr>
            <w:r>
              <w:rPr>
                <w:rFonts w:hint="eastAsia"/>
              </w:rPr>
              <w:t>优秀教师评选是高校提升教学质量管理工作的一部分，与传统的教学评价模式相比，这种对比式评价能够使获得更高区分度的评分，方便管理者筛选出最优秀的教学工作者。</w:t>
            </w:r>
          </w:p>
          <w:p w14:paraId="7E686B64">
            <w:pPr>
              <w:ind w:firstLine="480"/>
            </w:pPr>
            <w:r>
              <w:rPr>
                <w:rFonts w:hint="eastAsia"/>
              </w:rPr>
              <w:t>提供评选时间控制功能，可以设定评选的起止时间段，要求评选的等级数及每个等级允许评出的人数比例、分数区间；</w:t>
            </w:r>
          </w:p>
          <w:p w14:paraId="06ECD2EB">
            <w:pPr>
              <w:ind w:firstLine="480"/>
            </w:pPr>
            <w:r>
              <w:rPr>
                <w:rFonts w:hint="eastAsia"/>
              </w:rPr>
              <w:t>能够对所有评价人员提交的评选结果进行查询和统计，查看提交人、提交时间、评选等级、评分等相关信息；</w:t>
            </w:r>
          </w:p>
          <w:p w14:paraId="466430F3">
            <w:pPr>
              <w:ind w:firstLine="480"/>
            </w:pPr>
            <w:r>
              <w:rPr>
                <w:rFonts w:hint="eastAsia"/>
              </w:rPr>
              <w:t>能够汇总每个教师的评选人数、最高分、最低分、平均分等评选结果；</w:t>
            </w:r>
            <w:commentRangeEnd w:id="8"/>
            <w:r>
              <w:commentReference w:id="8"/>
            </w:r>
          </w:p>
          <w:p w14:paraId="028CA240">
            <w:pPr>
              <w:pStyle w:val="17"/>
              <w:spacing w:after="0"/>
              <w:ind w:firstLine="480"/>
              <w:rPr>
                <w:rFonts w:hint="default" w:asciiTheme="minorEastAsia" w:hAnsiTheme="minorEastAsia" w:eastAsiaTheme="minorEastAsia" w:cstheme="minorEastAsia"/>
                <w:color w:val="auto"/>
                <w:highlight w:val="none"/>
                <w:lang w:val="en-US" w:eastAsia="zh-CN"/>
              </w:rPr>
            </w:pPr>
          </w:p>
        </w:tc>
        <w:tc>
          <w:tcPr>
            <w:tcW w:w="385" w:type="pct"/>
            <w:shd w:val="clear" w:color="auto" w:fill="auto"/>
            <w:noWrap w:val="0"/>
            <w:vAlign w:val="center"/>
          </w:tcPr>
          <w:p w14:paraId="5B467A11">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46A80D97">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7034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3FF6BA58">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11</w:t>
            </w:r>
          </w:p>
        </w:tc>
        <w:tc>
          <w:tcPr>
            <w:tcW w:w="412" w:type="pct"/>
            <w:shd w:val="clear" w:color="auto" w:fill="auto"/>
            <w:noWrap w:val="0"/>
            <w:tcMar>
              <w:top w:w="13" w:type="dxa"/>
              <w:left w:w="57" w:type="dxa"/>
              <w:bottom w:w="0" w:type="dxa"/>
              <w:right w:w="57" w:type="dxa"/>
            </w:tcMar>
            <w:vAlign w:val="center"/>
          </w:tcPr>
          <w:p w14:paraId="637A2F35">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工作量管理系统升级</w:t>
            </w:r>
          </w:p>
        </w:tc>
        <w:tc>
          <w:tcPr>
            <w:tcW w:w="3562" w:type="pct"/>
            <w:gridSpan w:val="2"/>
            <w:shd w:val="clear" w:color="auto" w:fill="auto"/>
            <w:noWrap w:val="0"/>
            <w:tcMar>
              <w:top w:w="13" w:type="dxa"/>
              <w:left w:w="57" w:type="dxa"/>
              <w:bottom w:w="0" w:type="dxa"/>
              <w:right w:w="57" w:type="dxa"/>
            </w:tcMar>
            <w:vAlign w:val="center"/>
          </w:tcPr>
          <w:p w14:paraId="5B9BF6E9">
            <w:pPr>
              <w:numPr>
                <w:ilvl w:val="0"/>
                <w:numId w:val="22"/>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系统可以快速、准确、实时统计出教学工作量，完成对教师各种类型原始工作量、标准工作量到薪酬的统计、计算、变更、确认等一系列流程的管理，能够按照教学工作量按照指定的计算公式自动计算出教师应得薪酬。</w:t>
            </w:r>
          </w:p>
          <w:p w14:paraId="1B0C622F">
            <w:pPr>
              <w:numPr>
                <w:ilvl w:val="0"/>
                <w:numId w:val="22"/>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提供教学工作量申报管理流程，管理员可设置开放申报时间段，教师在线申报非教学的主观工作量，由管理员进行审核审批。同时支持管理员批量导入教师承担的其它教学活动工作量(如课外指导、命题等)。</w:t>
            </w:r>
          </w:p>
          <w:p w14:paraId="6A5D28CD">
            <w:pPr>
              <w:numPr>
                <w:ilvl w:val="0"/>
                <w:numId w:val="22"/>
              </w:numPr>
              <w:ind w:left="0" w:firstLine="42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任课教师对个人教学工作量有异议时，可线上提交工作量复核申请，管理人员可自定义允许复核的项目。管理员可查询、审核教师提交的工作量复核申请。</w:t>
            </w:r>
          </w:p>
          <w:p w14:paraId="38AE42D7">
            <w:pPr>
              <w:numPr>
                <w:ilvl w:val="0"/>
                <w:numId w:val="22"/>
              </w:numPr>
              <w:ind w:left="0" w:firstLine="420"/>
              <w:jc w:val="left"/>
              <w:rPr>
                <w:rFonts w:hint="eastAsia" w:asciiTheme="minorEastAsia" w:hAnsiTheme="minorEastAsia" w:eastAsiaTheme="minorEastAsia" w:cstheme="minorEastAsia"/>
                <w:color w:val="auto"/>
                <w:kern w:val="2"/>
                <w:sz w:val="21"/>
                <w:szCs w:val="21"/>
                <w:highlight w:val="none"/>
                <w:lang w:val="en-US" w:eastAsia="zh-CN" w:bidi="ar-SA"/>
              </w:rPr>
            </w:pPr>
            <w:commentRangeStart w:id="9"/>
            <w:r>
              <w:rPr>
                <w:rFonts w:hint="eastAsia" w:asciiTheme="minorEastAsia" w:hAnsiTheme="minorEastAsia" w:eastAsiaTheme="minorEastAsia" w:cstheme="minorEastAsia"/>
                <w:color w:val="auto"/>
                <w:kern w:val="2"/>
                <w:sz w:val="21"/>
                <w:szCs w:val="21"/>
                <w:highlight w:val="none"/>
                <w:lang w:val="en-US" w:eastAsia="zh-CN" w:bidi="ar-SA"/>
              </w:rPr>
              <w:t>增加：教学工作量查询功能中汇总方式新增按教师+学期+开课方式查找工作量，同时在查找结果界面新增一条汇总字段。</w:t>
            </w:r>
            <w:commentRangeEnd w:id="9"/>
            <w:r>
              <w:commentReference w:id="9"/>
            </w:r>
          </w:p>
        </w:tc>
        <w:tc>
          <w:tcPr>
            <w:tcW w:w="385" w:type="pct"/>
            <w:shd w:val="clear" w:color="auto" w:fill="auto"/>
            <w:noWrap w:val="0"/>
            <w:vAlign w:val="center"/>
          </w:tcPr>
          <w:p w14:paraId="6BE0727B">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237A8DC5">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7B832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3DCB816F">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12</w:t>
            </w:r>
          </w:p>
        </w:tc>
        <w:tc>
          <w:tcPr>
            <w:tcW w:w="412" w:type="pct"/>
            <w:shd w:val="clear" w:color="auto" w:fill="auto"/>
            <w:noWrap w:val="0"/>
            <w:tcMar>
              <w:top w:w="13" w:type="dxa"/>
              <w:left w:w="57" w:type="dxa"/>
              <w:bottom w:w="0" w:type="dxa"/>
              <w:right w:w="57" w:type="dxa"/>
            </w:tcMar>
            <w:vAlign w:val="center"/>
          </w:tcPr>
          <w:p w14:paraId="723D6AFF">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学籍管理系统升级</w:t>
            </w:r>
          </w:p>
        </w:tc>
        <w:tc>
          <w:tcPr>
            <w:tcW w:w="3562" w:type="pct"/>
            <w:gridSpan w:val="2"/>
            <w:shd w:val="clear" w:color="auto" w:fill="auto"/>
            <w:noWrap w:val="0"/>
            <w:tcMar>
              <w:top w:w="13" w:type="dxa"/>
              <w:left w:w="57" w:type="dxa"/>
              <w:bottom w:w="0" w:type="dxa"/>
              <w:right w:w="57" w:type="dxa"/>
            </w:tcMar>
            <w:vAlign w:val="center"/>
          </w:tcPr>
          <w:p w14:paraId="51835025">
            <w:pPr>
              <w:numPr>
                <w:ilvl w:val="0"/>
                <w:numId w:val="23"/>
              </w:numPr>
              <w:ind w:left="5" w:firstLine="41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学生基本信息</w:t>
            </w:r>
          </w:p>
          <w:p w14:paraId="7B4EF0D6">
            <w:pPr>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提供学生生源照片、入学照片、在校照片、毕业照片等多种照片来源的批量上传与维护功能，支持自定义学籍卡片显示的照片来源。</w:t>
            </w:r>
          </w:p>
          <w:p w14:paraId="0A595A1F">
            <w:pPr>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提供学期快照查询功能，能够对任一历史学期的学生学籍状态（院系、专业、年级、班级）、学生状态（在读、休学、复学、退学等）进行查询；</w:t>
            </w:r>
          </w:p>
          <w:p w14:paraId="06294404">
            <w:pPr>
              <w:numPr>
                <w:ilvl w:val="0"/>
                <w:numId w:val="23"/>
              </w:numPr>
              <w:ind w:left="5" w:firstLine="41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人像照片识别SAAS服务</w:t>
            </w:r>
          </w:p>
          <w:p w14:paraId="1461A7FE">
            <w:pPr>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实现对学生生源图片、入学照片、在校照片、毕业照片进行人脸比对功能，支持设置基准照片、比对照片、比对偏差值，管理人员可查询人脸比对结果。</w:t>
            </w:r>
          </w:p>
          <w:p w14:paraId="7C087103">
            <w:pPr>
              <w:numPr>
                <w:ilvl w:val="0"/>
                <w:numId w:val="23"/>
              </w:numPr>
              <w:ind w:left="5" w:firstLine="41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学生信息统计</w:t>
            </w:r>
          </w:p>
          <w:p w14:paraId="75A77CF5">
            <w:pPr>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提供各种形式的学生信息统计功能，如按照年级班级统计、按学院统计、按专业统计、按学院专业统计等；</w:t>
            </w:r>
          </w:p>
          <w:p w14:paraId="2CF384A6">
            <w:pPr>
              <w:numPr>
                <w:ilvl w:val="0"/>
                <w:numId w:val="23"/>
              </w:numPr>
              <w:ind w:left="5" w:firstLine="415"/>
              <w:jc w:val="lef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新生管理</w:t>
            </w:r>
          </w:p>
          <w:p w14:paraId="1EDD2478">
            <w:pPr>
              <w:numPr>
                <w:ilvl w:val="0"/>
                <w:numId w:val="24"/>
              </w:numPr>
              <w:bidi w:val="0"/>
              <w:ind w:left="0" w:firstLine="42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生源信息管理</w:t>
            </w:r>
          </w:p>
          <w:p w14:paraId="116CC9BA">
            <w:pPr>
              <w:bidi w:val="0"/>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按招生录取数据导入生源信息功能，每年根据国家各省份录取数据结构标准调整数据导入模板或数据对接服务，实现每年新生数据无缝导入或对接；提供考生照片按不同命名规则（考生号、学号、身份证号）批量上传功能；提供生源信息批量更新功能，便于对已导入数据的修正。</w:t>
            </w:r>
          </w:p>
          <w:p w14:paraId="6D15F077">
            <w:pPr>
              <w:bidi w:val="0"/>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提供招生专业设置功能，包含招生专业编号、招生专业名称、开始招生年份、培养层次等信息，支持校内专业与招生专业的分层管理。</w:t>
            </w:r>
          </w:p>
          <w:p w14:paraId="15D7FA8E">
            <w:pPr>
              <w:bidi w:val="0"/>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提供自动编班功能，分班算法需要能够考虑按成绩、性别、生源地、政治面貌等因素同专业内均衡分配，且支持自定义成绩、性别、生源地、政治面貌等因素的优先级，支持导出新生分班报表、新生名册报表。</w:t>
            </w:r>
          </w:p>
          <w:p w14:paraId="61F30D28">
            <w:pPr>
              <w:numPr>
                <w:ilvl w:val="0"/>
                <w:numId w:val="24"/>
              </w:numPr>
              <w:bidi w:val="0"/>
              <w:ind w:left="425" w:leftChars="200" w:hanging="5"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新生报到登记</w:t>
            </w:r>
          </w:p>
          <w:p w14:paraId="4C4CB737">
            <w:pPr>
              <w:bidi w:val="0"/>
              <w:ind w:left="425" w:leftChars="200" w:hanging="5"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提供新生逐个或批量报到登记功能，同时支持与外部系统对接获取学生报到状态。</w:t>
            </w:r>
          </w:p>
          <w:p w14:paraId="56FF7197">
            <w:pPr>
              <w:numPr>
                <w:ilvl w:val="0"/>
                <w:numId w:val="24"/>
              </w:numPr>
              <w:bidi w:val="0"/>
              <w:ind w:left="425" w:leftChars="200" w:hanging="5"/>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报到信息统计</w:t>
            </w:r>
          </w:p>
          <w:p w14:paraId="287A3668">
            <w:pPr>
              <w:bidi w:val="0"/>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对招生数据进行纵向横向数据挖掘分析功能，招生数据统计分析需要包含按专业统计、按省份统计、按学院统计、综合统计（按专业+省份、按专业+省份+录取批次、按省份+录取批次等）等多种统计方式以及招生数据相关的高基报表生成功能。</w:t>
            </w:r>
          </w:p>
          <w:p w14:paraId="2ED31296">
            <w:pPr>
              <w:numPr>
                <w:ilvl w:val="0"/>
                <w:numId w:val="24"/>
              </w:numPr>
              <w:bidi w:val="0"/>
              <w:ind w:left="425" w:leftChars="200" w:hanging="5"/>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转在校生</w:t>
            </w:r>
          </w:p>
          <w:p w14:paraId="2D3F7394">
            <w:pPr>
              <w:bidi w:val="0"/>
              <w:ind w:firstLine="420" w:firstLineChars="20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提供新生自动编学号功能，学号编排支持自定义编码规则、自定义编排顺序及起始编排学号。</w:t>
            </w:r>
          </w:p>
          <w:p w14:paraId="3D8B1D9F">
            <w:pPr>
              <w:pStyle w:val="17"/>
              <w:spacing w:after="0"/>
              <w:ind w:firstLine="42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提供新生数据一键转为在校生功能，系统实现自动将新生名单预置到教学计划名单及上课学生名单。</w:t>
            </w:r>
          </w:p>
        </w:tc>
        <w:tc>
          <w:tcPr>
            <w:tcW w:w="385" w:type="pct"/>
            <w:shd w:val="clear" w:color="auto" w:fill="auto"/>
            <w:noWrap w:val="0"/>
            <w:vAlign w:val="center"/>
          </w:tcPr>
          <w:p w14:paraId="1670DD51">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031B5803">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3203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46116E2E">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13</w:t>
            </w:r>
          </w:p>
        </w:tc>
        <w:tc>
          <w:tcPr>
            <w:tcW w:w="412" w:type="pct"/>
            <w:shd w:val="clear" w:color="auto" w:fill="auto"/>
            <w:noWrap w:val="0"/>
            <w:tcMar>
              <w:top w:w="13" w:type="dxa"/>
              <w:left w:w="57" w:type="dxa"/>
              <w:bottom w:w="0" w:type="dxa"/>
              <w:right w:w="57" w:type="dxa"/>
            </w:tcMar>
            <w:vAlign w:val="center"/>
          </w:tcPr>
          <w:p w14:paraId="5A902CD4">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实验管理系统</w:t>
            </w:r>
          </w:p>
        </w:tc>
        <w:tc>
          <w:tcPr>
            <w:tcW w:w="3562" w:type="pct"/>
            <w:gridSpan w:val="2"/>
            <w:shd w:val="clear" w:color="auto" w:fill="auto"/>
            <w:noWrap w:val="0"/>
            <w:tcMar>
              <w:top w:w="13" w:type="dxa"/>
              <w:left w:w="57" w:type="dxa"/>
              <w:bottom w:w="0" w:type="dxa"/>
              <w:right w:w="57" w:type="dxa"/>
            </w:tcMar>
            <w:vAlign w:val="center"/>
          </w:tcPr>
          <w:p w14:paraId="2757E171">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验教学包括课内实验、独立实验、开放性实验等各种类型的实验教学活动，是教务管理不可分割的一部分。实验管理包括从实验培养计划制定、实验教学安排、实验用品及耗材准备、实验教学、实验教学评价、实验成绩录入与合并、实验补考或实验重修以及实验高基报表生成等一系列管理功能。</w:t>
            </w:r>
          </w:p>
          <w:p w14:paraId="63273529">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提供实验室管理和维护功能，可以对实验室、容纳实验人数、所在校区及教学楼、所属学院及维护人进行维护；同时也可以对实验室内运行的实验</w:t>
            </w:r>
            <w:r>
              <w:rPr>
                <w:rFonts w:hint="eastAsia" w:asciiTheme="minorEastAsia" w:hAnsiTheme="minorEastAsia" w:eastAsiaTheme="minorEastAsia" w:cstheme="minorEastAsia"/>
                <w:color w:val="auto"/>
                <w:highlight w:val="none"/>
                <w:lang w:val="en-US" w:eastAsia="zh-CN"/>
              </w:rPr>
              <w:t>设</w:t>
            </w:r>
            <w:r>
              <w:rPr>
                <w:rFonts w:hint="eastAsia" w:asciiTheme="minorEastAsia" w:hAnsiTheme="minorEastAsia" w:eastAsiaTheme="minorEastAsia" w:cstheme="minorEastAsia"/>
                <w:color w:val="auto"/>
                <w:highlight w:val="none"/>
              </w:rPr>
              <w:t>备进行维护；</w:t>
            </w:r>
          </w:p>
          <w:p w14:paraId="19DE98B5">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提供实验项目管理功能，能够对各种类型的课内实验、独立实验、开放性实验项目进行管理和维护，满足实验项</w:t>
            </w:r>
            <w:r>
              <w:rPr>
                <w:rFonts w:hint="eastAsia" w:asciiTheme="minorEastAsia" w:hAnsiTheme="minorEastAsia" w:eastAsiaTheme="minorEastAsia" w:cstheme="minorEastAsia"/>
                <w:color w:val="auto"/>
                <w:highlight w:val="none"/>
                <w:lang w:val="en-US" w:eastAsia="zh-CN"/>
              </w:rPr>
              <w:t>目</w:t>
            </w:r>
            <w:r>
              <w:rPr>
                <w:rFonts w:hint="eastAsia" w:asciiTheme="minorEastAsia" w:hAnsiTheme="minorEastAsia" w:eastAsiaTheme="minorEastAsia" w:cstheme="minorEastAsia"/>
                <w:color w:val="auto"/>
                <w:highlight w:val="none"/>
              </w:rPr>
              <w:t>教学安排及实验高基表生成需求；</w:t>
            </w:r>
          </w:p>
          <w:p w14:paraId="6A1C5BAB">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能够对各种实验项目所需要实验用品与耗材进行管理，内容包括：品名、规格、单位、品目、类型等，满足实验高基表生成需求；</w:t>
            </w:r>
          </w:p>
          <w:p w14:paraId="7CE331EE">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能够根据实验教学安排情况按日或按周生成所需实验用品或耗材采购清单，与采购部门相关系统对接；</w:t>
            </w:r>
          </w:p>
          <w:p w14:paraId="0710BFA2">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提供实验设备管理和维护功能，包括：设备编号、名称、设备型号、厂家、现状、采购单价、使用方向等内容进行维护；</w:t>
            </w:r>
          </w:p>
          <w:p w14:paraId="43DA74A1">
            <w:pPr>
              <w:numPr>
                <w:ilvl w:val="0"/>
                <w:numId w:val="25"/>
              </w:numPr>
              <w:ind w:left="0"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为实验教学管理人员提供实验教学安排功能，满足实验教学需求，如：实验分组或分轮安排，指定实验准备人员、实验室，分配实验耗材等功能；</w:t>
            </w:r>
          </w:p>
          <w:p w14:paraId="4F0C10C3">
            <w:pPr>
              <w:numPr>
                <w:ilvl w:val="0"/>
                <w:numId w:val="25"/>
              </w:numPr>
              <w:ind w:left="0" w:firstLine="42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提供实验高基表生成功能，如：教学科研仪器设备表、教学科研仪器设备增减变动情况表、贵重仪器设备表、教学实验项目表、专任实验人员表、实验室基本情况表、实验室经费情况表、高等学校实验室综合信息表；</w:t>
            </w:r>
          </w:p>
        </w:tc>
        <w:tc>
          <w:tcPr>
            <w:tcW w:w="385" w:type="pct"/>
            <w:shd w:val="clear" w:color="auto" w:fill="auto"/>
            <w:noWrap w:val="0"/>
            <w:vAlign w:val="center"/>
          </w:tcPr>
          <w:p w14:paraId="2EDE1DC1">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7F87A723">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A69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4F723858">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14</w:t>
            </w:r>
          </w:p>
        </w:tc>
        <w:tc>
          <w:tcPr>
            <w:tcW w:w="412" w:type="pct"/>
            <w:shd w:val="clear" w:color="auto" w:fill="auto"/>
            <w:noWrap w:val="0"/>
            <w:tcMar>
              <w:top w:w="13" w:type="dxa"/>
              <w:left w:w="57" w:type="dxa"/>
              <w:bottom w:w="0" w:type="dxa"/>
              <w:right w:w="57" w:type="dxa"/>
            </w:tcMar>
            <w:vAlign w:val="center"/>
          </w:tcPr>
          <w:p w14:paraId="053EAA0C">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OCR识别服务</w:t>
            </w:r>
          </w:p>
        </w:tc>
        <w:tc>
          <w:tcPr>
            <w:tcW w:w="3562" w:type="pct"/>
            <w:gridSpan w:val="2"/>
            <w:shd w:val="clear" w:color="auto" w:fill="auto"/>
            <w:noWrap w:val="0"/>
            <w:tcMar>
              <w:top w:w="13" w:type="dxa"/>
              <w:left w:w="57" w:type="dxa"/>
              <w:bottom w:w="0" w:type="dxa"/>
              <w:right w:w="57" w:type="dxa"/>
            </w:tcMar>
            <w:vAlign w:val="center"/>
          </w:tcPr>
          <w:p w14:paraId="2E0BF658">
            <w:pPr>
              <w:bidi w:val="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ab/>
            </w:r>
            <w:commentRangeStart w:id="10"/>
            <w:r>
              <w:rPr>
                <w:rFonts w:hint="eastAsia" w:asciiTheme="minorEastAsia" w:hAnsiTheme="minorEastAsia" w:eastAsiaTheme="minorEastAsia" w:cstheme="minorEastAsia"/>
                <w:color w:val="auto"/>
                <w:highlight w:val="none"/>
              </w:rPr>
              <w:t>教师移动端申请新增教材时，支持OCR识别教材封面、封底图片、成绩照片等；拍照自动录入成绩</w:t>
            </w:r>
            <w:commentRangeEnd w:id="10"/>
            <w:r>
              <w:commentReference w:id="10"/>
            </w:r>
          </w:p>
        </w:tc>
        <w:tc>
          <w:tcPr>
            <w:tcW w:w="385" w:type="pct"/>
            <w:shd w:val="clear" w:color="auto" w:fill="auto"/>
            <w:noWrap w:val="0"/>
            <w:vAlign w:val="center"/>
          </w:tcPr>
          <w:p w14:paraId="1D00AB85">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036BB34F">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156E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0B69A0F3">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15</w:t>
            </w:r>
          </w:p>
        </w:tc>
        <w:tc>
          <w:tcPr>
            <w:tcW w:w="412" w:type="pct"/>
            <w:shd w:val="clear" w:color="auto" w:fill="auto"/>
            <w:noWrap w:val="0"/>
            <w:tcMar>
              <w:top w:w="13" w:type="dxa"/>
              <w:left w:w="57" w:type="dxa"/>
              <w:bottom w:w="0" w:type="dxa"/>
              <w:right w:w="57" w:type="dxa"/>
            </w:tcMar>
            <w:vAlign w:val="center"/>
          </w:tcPr>
          <w:p w14:paraId="725B0C55">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手写签名服务</w:t>
            </w:r>
          </w:p>
        </w:tc>
        <w:tc>
          <w:tcPr>
            <w:tcW w:w="3562" w:type="pct"/>
            <w:gridSpan w:val="2"/>
            <w:shd w:val="clear" w:color="auto" w:fill="auto"/>
            <w:noWrap w:val="0"/>
            <w:tcMar>
              <w:top w:w="13" w:type="dxa"/>
              <w:left w:w="57" w:type="dxa"/>
              <w:bottom w:w="0" w:type="dxa"/>
              <w:right w:w="57" w:type="dxa"/>
            </w:tcMar>
            <w:vAlign w:val="center"/>
          </w:tcPr>
          <w:p w14:paraId="4A653CE7">
            <w:pPr>
              <w:numPr>
                <w:ilvl w:val="0"/>
                <w:numId w:val="26"/>
              </w:numPr>
              <w:ind w:left="5" w:firstLine="415"/>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教师/学生电子签名录入：教师或学生可在PC端直接上传电子签名图片，同时提供移动端扫码提交签名功能，多次扫码覆盖原有签名，系统能够将教师/学生所提交的电子签名保存为带有教务系统水印的图片，教师/学生可在系统中查询本人电子签名信息。</w:t>
            </w:r>
          </w:p>
          <w:p w14:paraId="364B39E6">
            <w:pPr>
              <w:numPr>
                <w:ilvl w:val="0"/>
                <w:numId w:val="26"/>
              </w:numPr>
              <w:ind w:left="5" w:firstLine="415"/>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教师/学生电子签名报表：系统各模块提供报表定制功能，报表指定位置能够输出教师/学生电子签名信息，如毕业设计报表、教材选用情况报表等。</w:t>
            </w:r>
          </w:p>
          <w:p w14:paraId="0EF88675">
            <w:pPr>
              <w:numPr>
                <w:ilvl w:val="0"/>
                <w:numId w:val="26"/>
              </w:numPr>
              <w:ind w:left="5" w:firstLine="415"/>
              <w:jc w:val="left"/>
              <w:rPr>
                <w:rFonts w:hint="eastAsia" w:asciiTheme="minorEastAsia" w:hAnsiTheme="minorEastAsia" w:eastAsiaTheme="minorEastAsia" w:cstheme="minorEastAsia"/>
                <w:color w:val="auto"/>
                <w:kern w:val="2"/>
                <w:sz w:val="21"/>
                <w:szCs w:val="21"/>
                <w:highlight w:val="none"/>
                <w:lang w:val="en-US" w:eastAsia="zh-CN" w:bidi="ar-SA"/>
              </w:rPr>
            </w:pPr>
            <w:commentRangeStart w:id="11"/>
            <w:r>
              <w:rPr>
                <w:rFonts w:hint="eastAsia" w:asciiTheme="majorEastAsia" w:hAnsiTheme="majorEastAsia" w:eastAsiaTheme="majorEastAsia" w:cstheme="majorEastAsia"/>
                <w:color w:val="auto"/>
                <w:sz w:val="24"/>
                <w:szCs w:val="24"/>
              </w:rPr>
              <w:t>系统能将教师的电子签名用于教学日历界面的签字</w:t>
            </w:r>
            <w:r>
              <w:rPr>
                <w:rFonts w:hint="eastAsia" w:asciiTheme="majorEastAsia" w:hAnsiTheme="majorEastAsia" w:eastAsiaTheme="majorEastAsia" w:cstheme="majorEastAsia"/>
                <w:color w:val="auto"/>
                <w:sz w:val="24"/>
                <w:szCs w:val="24"/>
                <w:lang w:eastAsia="zh-CN"/>
              </w:rPr>
              <w:t>。</w:t>
            </w:r>
            <w:commentRangeEnd w:id="11"/>
            <w:r>
              <w:rPr>
                <w:color w:val="auto"/>
              </w:rPr>
              <w:commentReference w:id="11"/>
            </w:r>
          </w:p>
        </w:tc>
        <w:tc>
          <w:tcPr>
            <w:tcW w:w="385" w:type="pct"/>
            <w:shd w:val="clear" w:color="auto" w:fill="auto"/>
            <w:noWrap w:val="0"/>
            <w:vAlign w:val="center"/>
          </w:tcPr>
          <w:p w14:paraId="50B6F575">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50DD8126">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2B5B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7695FDE7">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16</w:t>
            </w:r>
          </w:p>
        </w:tc>
        <w:tc>
          <w:tcPr>
            <w:tcW w:w="412" w:type="pct"/>
            <w:shd w:val="clear" w:color="auto" w:fill="auto"/>
            <w:noWrap w:val="0"/>
            <w:tcMar>
              <w:top w:w="13" w:type="dxa"/>
              <w:left w:w="57" w:type="dxa"/>
              <w:bottom w:w="0" w:type="dxa"/>
              <w:right w:w="57" w:type="dxa"/>
            </w:tcMar>
            <w:vAlign w:val="center"/>
          </w:tcPr>
          <w:p w14:paraId="1F6CA90B">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电子签章</w:t>
            </w:r>
          </w:p>
        </w:tc>
        <w:tc>
          <w:tcPr>
            <w:tcW w:w="3562" w:type="pct"/>
            <w:gridSpan w:val="2"/>
            <w:shd w:val="clear" w:color="auto" w:fill="auto"/>
            <w:noWrap w:val="0"/>
            <w:tcMar>
              <w:top w:w="13" w:type="dxa"/>
              <w:left w:w="57" w:type="dxa"/>
              <w:bottom w:w="0" w:type="dxa"/>
              <w:right w:w="57" w:type="dxa"/>
            </w:tcMar>
            <w:vAlign w:val="center"/>
          </w:tcPr>
          <w:p w14:paraId="261CB892">
            <w:pPr>
              <w:ind w:firstLine="42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系统提供可信电子成绩单、验证可信电子成绩单等服务，采用PDF版式文件格式作为电子成绩单、证明等载体，保障电子成绩单、证明等内容固定，不受系统、软件升级等限制，保证长期可用。</w:t>
            </w:r>
          </w:p>
        </w:tc>
        <w:tc>
          <w:tcPr>
            <w:tcW w:w="385" w:type="pct"/>
            <w:shd w:val="clear" w:color="auto" w:fill="auto"/>
            <w:noWrap w:val="0"/>
            <w:vAlign w:val="center"/>
          </w:tcPr>
          <w:p w14:paraId="6C844CDE">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09B76FDB">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01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4348564A">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color w:val="auto"/>
                <w:kern w:val="0"/>
                <w:highlight w:val="none"/>
                <w:lang w:val="en-US" w:bidi="zh-CN"/>
              </w:rPr>
              <w:t>17</w:t>
            </w:r>
          </w:p>
        </w:tc>
        <w:tc>
          <w:tcPr>
            <w:tcW w:w="412" w:type="pct"/>
            <w:shd w:val="clear" w:color="auto" w:fill="auto"/>
            <w:noWrap w:val="0"/>
            <w:tcMar>
              <w:top w:w="13" w:type="dxa"/>
              <w:left w:w="57" w:type="dxa"/>
              <w:bottom w:w="0" w:type="dxa"/>
              <w:right w:w="57" w:type="dxa"/>
            </w:tcMar>
            <w:vAlign w:val="center"/>
          </w:tcPr>
          <w:p w14:paraId="1DC9010F">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AI机器人</w:t>
            </w:r>
          </w:p>
        </w:tc>
        <w:tc>
          <w:tcPr>
            <w:tcW w:w="3562" w:type="pct"/>
            <w:gridSpan w:val="2"/>
            <w:shd w:val="clear" w:color="auto" w:fill="auto"/>
            <w:noWrap w:val="0"/>
            <w:tcMar>
              <w:top w:w="13" w:type="dxa"/>
              <w:left w:w="57" w:type="dxa"/>
              <w:bottom w:w="0" w:type="dxa"/>
              <w:right w:w="57" w:type="dxa"/>
            </w:tcMar>
            <w:vAlign w:val="center"/>
          </w:tcPr>
          <w:p w14:paraId="078031AE">
            <w:pPr>
              <w:bidi w:val="0"/>
              <w:ind w:firstLine="420" w:firstLineChars="200"/>
              <w:jc w:val="left"/>
            </w:pPr>
            <w:r>
              <w:rPr>
                <w:rFonts w:hint="eastAsia"/>
              </w:rPr>
              <w:t>引入AI智能机器人，结合业务管理人员日常业务管理中的知识和经验定制具有自主分析、预警、决策能力的智能机器人，代替教学管理人员对现有教务、教学大数据进行有效数据治理（包括人才培养、选课、成绩、评价等各个环节的数据），规范业务管理（包括缓考、免修、调停课等各项业务办理的规范化管理），同时也能够对各种信息安全事件（如恶意攻击行为）进行及时、有力的应对，提升教学管理业务的自动化水平。具体要求如下：</w:t>
            </w:r>
          </w:p>
          <w:p w14:paraId="2F220A88">
            <w:pPr>
              <w:numPr>
                <w:ilvl w:val="0"/>
                <w:numId w:val="27"/>
              </w:numPr>
              <w:bidi w:val="0"/>
              <w:ind w:left="0" w:firstLine="420"/>
              <w:jc w:val="left"/>
            </w:pPr>
            <w:r>
              <w:rPr>
                <w:rFonts w:hint="eastAsia"/>
              </w:rPr>
              <w:t>提供自定义数据异常规则设置功能，系统能够自动检查异常数据向相关业务管理人员发送异常预警，通知相关人员及时处理并消除异常。</w:t>
            </w:r>
          </w:p>
          <w:p w14:paraId="411EF6A2">
            <w:pPr>
              <w:numPr>
                <w:ilvl w:val="0"/>
                <w:numId w:val="27"/>
              </w:numPr>
              <w:bidi w:val="0"/>
              <w:ind w:left="0" w:firstLine="420"/>
              <w:jc w:val="left"/>
            </w:pPr>
            <w:r>
              <w:rPr>
                <w:rFonts w:hint="eastAsia"/>
              </w:rPr>
              <w:t>提供业务流程督办功能，可以根据督办规则向业务负责人发送超时督办通知。</w:t>
            </w:r>
          </w:p>
          <w:p w14:paraId="2ABACA6C">
            <w:pPr>
              <w:numPr>
                <w:ilvl w:val="0"/>
                <w:numId w:val="27"/>
              </w:numPr>
              <w:bidi w:val="0"/>
              <w:ind w:left="0" w:firstLine="420"/>
              <w:jc w:val="left"/>
            </w:pPr>
            <w:r>
              <w:rPr>
                <w:rFonts w:hint="eastAsia"/>
              </w:rPr>
              <w:t>提供定义安全防护规则，能够自动拦截地址扫描、暴力破解、sql注入、越权、弱密码等高风险操作，自动予以冻结、拉黑、封禁账号等不同等级的处罚。</w:t>
            </w:r>
          </w:p>
          <w:p w14:paraId="50B9D76E">
            <w:pPr>
              <w:numPr>
                <w:ilvl w:val="0"/>
                <w:numId w:val="27"/>
              </w:numPr>
              <w:bidi w:val="0"/>
              <w:ind w:left="0" w:firstLine="42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rPr>
              <w:t>嵌入具备文档问答能力的大模型，为师生提供个性化的智能问答服务，可内嵌于教务公众号或移动app，管理员无需手动录入问答库，仅通过资料上传的方式即可构建校方知识库。能够对管理员上传的资料进行智能理解与分析，能够基于对用户输入问题的语义理解与分析，匹配知识库中的相关文档内容，并通过自然语言处理的能力整合、提炼答案并返回给用户。</w:t>
            </w:r>
          </w:p>
        </w:tc>
        <w:tc>
          <w:tcPr>
            <w:tcW w:w="385" w:type="pct"/>
            <w:shd w:val="clear" w:color="auto" w:fill="auto"/>
            <w:noWrap w:val="0"/>
            <w:vAlign w:val="center"/>
          </w:tcPr>
          <w:p w14:paraId="0570277B">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7BF6208F">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3648C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1CBBB027">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18</w:t>
            </w:r>
          </w:p>
        </w:tc>
        <w:tc>
          <w:tcPr>
            <w:tcW w:w="412" w:type="pct"/>
            <w:shd w:val="clear" w:color="auto" w:fill="auto"/>
            <w:noWrap w:val="0"/>
            <w:tcMar>
              <w:top w:w="13" w:type="dxa"/>
              <w:left w:w="57" w:type="dxa"/>
              <w:bottom w:w="0" w:type="dxa"/>
              <w:right w:w="57" w:type="dxa"/>
            </w:tcMar>
            <w:vAlign w:val="center"/>
          </w:tcPr>
          <w:p w14:paraId="1496DD43">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人像照片识别SAAS服务</w:t>
            </w:r>
          </w:p>
        </w:tc>
        <w:tc>
          <w:tcPr>
            <w:tcW w:w="3562" w:type="pct"/>
            <w:gridSpan w:val="2"/>
            <w:shd w:val="clear" w:color="auto" w:fill="auto"/>
            <w:noWrap w:val="0"/>
            <w:tcMar>
              <w:top w:w="13" w:type="dxa"/>
              <w:left w:w="57" w:type="dxa"/>
              <w:bottom w:w="0" w:type="dxa"/>
              <w:right w:w="57" w:type="dxa"/>
            </w:tcMar>
            <w:vAlign w:val="center"/>
          </w:tcPr>
          <w:p w14:paraId="6B6C5402">
            <w:pPr>
              <w:keepLines w:val="0"/>
              <w:pageBreakBefore w:val="0"/>
              <w:widowControl/>
              <w:kinsoku/>
              <w:wordWrap/>
              <w:overflowPunct/>
              <w:topLinePunct w:val="0"/>
              <w:autoSpaceDE/>
              <w:autoSpaceDN/>
              <w:bidi w:val="0"/>
              <w:adjustRightInd/>
              <w:spacing w:line="240" w:lineRule="auto"/>
              <w:ind w:firstLine="420" w:firstLineChars="200"/>
              <w:jc w:val="left"/>
              <w:textAlignment w:val="center"/>
              <w:rPr>
                <w:rFonts w:hint="eastAsia" w:asciiTheme="minorEastAsia" w:hAnsiTheme="minorEastAsia" w:eastAsiaTheme="minorEastAsia" w:cstheme="minorEastAsia"/>
                <w:color w:val="auto"/>
                <w:kern w:val="2"/>
                <w:sz w:val="21"/>
                <w:szCs w:val="21"/>
                <w:highlight w:val="none"/>
                <w:lang w:val="en-US" w:eastAsia="zh-CN" w:bidi="ar-SA"/>
              </w:rPr>
            </w:pPr>
            <w:commentRangeStart w:id="12"/>
            <w:r>
              <w:rPr>
                <w:rFonts w:hint="eastAsia" w:asciiTheme="minorEastAsia" w:hAnsiTheme="minorEastAsia" w:eastAsiaTheme="minorEastAsia" w:cstheme="minorEastAsia"/>
                <w:color w:val="auto"/>
                <w:highlight w:val="none"/>
              </w:rPr>
              <w:t>实现对学生生源图片、入学照片、在校照片、毕业照片进行人脸比对功能，支持设置基准照片、比对照片、比对偏差值，管理人员可查询人脸比对结果。</w:t>
            </w:r>
            <w:commentRangeEnd w:id="12"/>
            <w:r>
              <w:commentReference w:id="12"/>
            </w:r>
          </w:p>
        </w:tc>
        <w:tc>
          <w:tcPr>
            <w:tcW w:w="385" w:type="pct"/>
            <w:shd w:val="clear" w:color="auto" w:fill="auto"/>
            <w:noWrap w:val="0"/>
            <w:vAlign w:val="center"/>
          </w:tcPr>
          <w:p w14:paraId="72957902">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7333F41B">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BFD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6E5E8B02">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19</w:t>
            </w:r>
          </w:p>
        </w:tc>
        <w:tc>
          <w:tcPr>
            <w:tcW w:w="412" w:type="pct"/>
            <w:shd w:val="clear" w:color="auto" w:fill="auto"/>
            <w:noWrap w:val="0"/>
            <w:tcMar>
              <w:top w:w="13" w:type="dxa"/>
              <w:left w:w="57" w:type="dxa"/>
              <w:bottom w:w="0" w:type="dxa"/>
              <w:right w:w="57" w:type="dxa"/>
            </w:tcMar>
            <w:vAlign w:val="center"/>
          </w:tcPr>
          <w:p w14:paraId="5486C712">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文档预览服务</w:t>
            </w:r>
          </w:p>
        </w:tc>
        <w:tc>
          <w:tcPr>
            <w:tcW w:w="3562" w:type="pct"/>
            <w:gridSpan w:val="2"/>
            <w:shd w:val="clear" w:color="auto" w:fill="auto"/>
            <w:noWrap w:val="0"/>
            <w:tcMar>
              <w:top w:w="13" w:type="dxa"/>
              <w:left w:w="57" w:type="dxa"/>
              <w:bottom w:w="0" w:type="dxa"/>
              <w:right w:w="57" w:type="dxa"/>
            </w:tcMar>
            <w:vAlign w:val="center"/>
          </w:tcPr>
          <w:p w14:paraId="6A933408">
            <w:pPr>
              <w:ind w:firstLine="420" w:firstLineChars="20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提供附件在线预览功能，附件类型包括word、excel、pdf、图片、压缩包等，用户无需下载即可查看附件内容，如缓考、借教室、免修等各类业务办理过程中要求上传的附件。</w:t>
            </w:r>
          </w:p>
        </w:tc>
        <w:tc>
          <w:tcPr>
            <w:tcW w:w="385" w:type="pct"/>
            <w:shd w:val="clear" w:color="auto" w:fill="auto"/>
            <w:noWrap w:val="0"/>
            <w:vAlign w:val="center"/>
          </w:tcPr>
          <w:p w14:paraId="42A59CBF">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2F519853">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5A51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5D82632C">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20</w:t>
            </w:r>
          </w:p>
        </w:tc>
        <w:tc>
          <w:tcPr>
            <w:tcW w:w="412" w:type="pct"/>
            <w:shd w:val="clear" w:color="auto" w:fill="auto"/>
            <w:noWrap w:val="0"/>
            <w:tcMar>
              <w:top w:w="13" w:type="dxa"/>
              <w:left w:w="57" w:type="dxa"/>
              <w:bottom w:w="0" w:type="dxa"/>
              <w:right w:w="57" w:type="dxa"/>
            </w:tcMar>
            <w:vAlign w:val="center"/>
          </w:tcPr>
          <w:p w14:paraId="52D85370">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数据仓库系统</w:t>
            </w:r>
          </w:p>
        </w:tc>
        <w:tc>
          <w:tcPr>
            <w:tcW w:w="3562" w:type="pct"/>
            <w:gridSpan w:val="2"/>
            <w:shd w:val="clear" w:color="auto" w:fill="auto"/>
            <w:noWrap w:val="0"/>
            <w:tcMar>
              <w:top w:w="13" w:type="dxa"/>
              <w:left w:w="57" w:type="dxa"/>
              <w:bottom w:w="0" w:type="dxa"/>
              <w:right w:w="57" w:type="dxa"/>
            </w:tcMar>
            <w:vAlign w:val="center"/>
          </w:tcPr>
          <w:p w14:paraId="3E3825B8">
            <w:pPr>
              <w:ind w:firstLine="420" w:firstLineChars="20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highlight w:val="none"/>
              </w:rPr>
              <w:t>为业务管理人员提供查询教学运行过程中各类数据的历史变更情况登记功能，管理人员可查询任一时点的学籍信息、开课任务、教学日历、上课学生、课程平台、学生考试等信息，以满足管理人员查询各时点历史数据需求，满足历史数据的恢复、统计及分析需求</w:t>
            </w:r>
            <w:r>
              <w:rPr>
                <w:rFonts w:hint="eastAsia" w:asciiTheme="minorEastAsia" w:hAnsiTheme="minorEastAsia" w:eastAsiaTheme="minorEastAsia" w:cstheme="minorEastAsia"/>
                <w:color w:val="auto"/>
                <w:highlight w:val="none"/>
                <w:lang w:eastAsia="zh-CN"/>
              </w:rPr>
              <w:t>。</w:t>
            </w:r>
          </w:p>
        </w:tc>
        <w:tc>
          <w:tcPr>
            <w:tcW w:w="385" w:type="pct"/>
            <w:shd w:val="clear" w:color="auto" w:fill="auto"/>
            <w:noWrap w:val="0"/>
            <w:vAlign w:val="center"/>
          </w:tcPr>
          <w:p w14:paraId="4A784268">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0861C0A1">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42FD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4F3BD4A0">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21</w:t>
            </w:r>
          </w:p>
        </w:tc>
        <w:tc>
          <w:tcPr>
            <w:tcW w:w="412" w:type="pct"/>
            <w:shd w:val="clear" w:color="auto" w:fill="auto"/>
            <w:noWrap w:val="0"/>
            <w:tcMar>
              <w:top w:w="13" w:type="dxa"/>
              <w:left w:w="57" w:type="dxa"/>
              <w:bottom w:w="0" w:type="dxa"/>
              <w:right w:w="57" w:type="dxa"/>
            </w:tcMar>
            <w:vAlign w:val="center"/>
          </w:tcPr>
          <w:p w14:paraId="20E12596">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教师（管理人员）移动端服务</w:t>
            </w:r>
          </w:p>
        </w:tc>
        <w:tc>
          <w:tcPr>
            <w:tcW w:w="3562" w:type="pct"/>
            <w:gridSpan w:val="2"/>
            <w:shd w:val="clear" w:color="auto" w:fill="auto"/>
            <w:noWrap w:val="0"/>
            <w:tcMar>
              <w:top w:w="13" w:type="dxa"/>
              <w:left w:w="57" w:type="dxa"/>
              <w:bottom w:w="0" w:type="dxa"/>
              <w:right w:w="57" w:type="dxa"/>
            </w:tcMar>
            <w:vAlign w:val="center"/>
          </w:tcPr>
          <w:p w14:paraId="32488AEF">
            <w:pPr>
              <w:numPr>
                <w:ilvl w:val="0"/>
                <w:numId w:val="28"/>
              </w:numPr>
              <w:ind w:left="5" w:firstLine="415" w:firstLineChars="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总体要求：</w:t>
            </w:r>
          </w:p>
          <w:p w14:paraId="28129828">
            <w:r>
              <w:rPr>
                <w:rFonts w:hint="eastAsia" w:asciiTheme="minorEastAsia" w:hAnsiTheme="minorEastAsia" w:eastAsiaTheme="minorEastAsia" w:cstheme="minorEastAsia"/>
                <w:color w:val="auto"/>
                <w:szCs w:val="21"/>
                <w:highlight w:val="none"/>
              </w:rPr>
              <w:t>提供移动端服务，教师可通过手机进行各类常用教务服务的查询与办理，管理人员可进行业务审批等操作。移动端提供各类消息提醒功能，包含上课提醒、考试安排提醒、审核审批提醒等消息通知。</w:t>
            </w:r>
          </w:p>
          <w:p w14:paraId="5524DA96">
            <w:pPr>
              <w:numPr>
                <w:ilvl w:val="0"/>
                <w:numId w:val="29"/>
              </w:numPr>
              <w:tabs>
                <w:tab w:val="left" w:pos="0"/>
              </w:tabs>
              <w:ind w:left="0" w:leftChars="0" w:firstLine="420" w:firstLineChars="200"/>
              <w:jc w:val="left"/>
              <w:rPr>
                <w:rFonts w:hint="eastAsia" w:asciiTheme="minorEastAsia" w:hAnsiTheme="minorEastAsia" w:eastAsiaTheme="minorEastAsia" w:cstheme="minorEastAsia"/>
                <w:color w:val="auto"/>
                <w:szCs w:val="21"/>
                <w:highlight w:val="none"/>
              </w:rPr>
            </w:pPr>
          </w:p>
          <w:p w14:paraId="2533C25E">
            <w:pPr>
              <w:numPr>
                <w:ilvl w:val="0"/>
                <w:numId w:val="29"/>
              </w:numPr>
              <w:tabs>
                <w:tab w:val="left" w:pos="0"/>
              </w:tabs>
              <w:ind w:left="0" w:leftChars="0"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移动端</w:t>
            </w:r>
            <w:r>
              <w:rPr>
                <w:rFonts w:hint="eastAsia" w:asciiTheme="minorEastAsia" w:hAnsiTheme="minorEastAsia" w:eastAsiaTheme="minorEastAsia" w:cstheme="minorEastAsia"/>
                <w:color w:val="auto"/>
                <w:szCs w:val="21"/>
                <w:highlight w:val="none"/>
                <w:lang w:val="en-US" w:eastAsia="zh-CN"/>
              </w:rPr>
              <w:t>源代码</w:t>
            </w:r>
            <w:r>
              <w:rPr>
                <w:rFonts w:hint="eastAsia" w:asciiTheme="minorEastAsia" w:hAnsiTheme="minorEastAsia" w:eastAsiaTheme="minorEastAsia" w:cstheme="minorEastAsia"/>
                <w:color w:val="auto"/>
                <w:szCs w:val="21"/>
                <w:highlight w:val="none"/>
              </w:rPr>
              <w:t>要求</w:t>
            </w:r>
            <w:r>
              <w:rPr>
                <w:rFonts w:hint="eastAsia" w:asciiTheme="minorEastAsia" w:hAnsiTheme="minorEastAsia" w:eastAsiaTheme="minorEastAsia" w:cstheme="minorEastAsia"/>
                <w:color w:val="auto"/>
                <w:szCs w:val="21"/>
                <w:highlight w:val="none"/>
                <w:lang w:val="en-US" w:eastAsia="zh-CN"/>
              </w:rPr>
              <w:t>使用H5语言进行编写，便于</w:t>
            </w:r>
            <w:r>
              <w:rPr>
                <w:rFonts w:hint="eastAsia" w:asciiTheme="minorEastAsia" w:hAnsiTheme="minorEastAsia" w:eastAsiaTheme="minorEastAsia" w:cstheme="minorEastAsia"/>
                <w:color w:val="auto"/>
                <w:szCs w:val="21"/>
                <w:highlight w:val="none"/>
              </w:rPr>
              <w:t>在手机、平板等移动设备兼容适配，要求支持国际化多语言切换，可自主切换选择中文简/繁体、英语、日本等多种语言版本，为港澳台及外国用户提供方便。</w:t>
            </w:r>
          </w:p>
          <w:p w14:paraId="0021DA21"/>
          <w:p w14:paraId="67297663">
            <w:pPr>
              <w:numPr>
                <w:ilvl w:val="0"/>
                <w:numId w:val="29"/>
              </w:numPr>
              <w:tabs>
                <w:tab w:val="left" w:pos="0"/>
              </w:tabs>
              <w:bidi w:val="0"/>
              <w:ind w:left="0" w:leftChars="0" w:firstLine="420" w:firstLineChars="200"/>
              <w:jc w:val="left"/>
              <w:rPr>
                <w:rFonts w:hint="eastAsia" w:asciiTheme="majorEastAsia" w:hAnsiTheme="majorEastAsia" w:eastAsiaTheme="majorEastAsia" w:cstheme="majorEastAsia"/>
                <w:sz w:val="21"/>
                <w:szCs w:val="21"/>
              </w:rPr>
            </w:pPr>
            <w:r>
              <w:rPr>
                <w:rFonts w:hint="eastAsia" w:asciiTheme="minorEastAsia" w:hAnsiTheme="minorEastAsia" w:eastAsiaTheme="minorEastAsia" w:cstheme="minorEastAsia"/>
                <w:color w:val="auto"/>
                <w:szCs w:val="21"/>
                <w:highlight w:val="none"/>
                <w:lang w:val="en-US" w:eastAsia="zh-CN"/>
              </w:rPr>
              <w:t>移动端支持多种集成方式，包括服务号、订阅号、企业微信、app部署</w:t>
            </w:r>
          </w:p>
          <w:p w14:paraId="1DFF7A69">
            <w:pPr>
              <w:numPr>
                <w:ilvl w:val="0"/>
                <w:numId w:val="28"/>
              </w:numPr>
              <w:bidi w:val="0"/>
              <w:ind w:left="5" w:firstLine="415" w:firstLineChars="0"/>
              <w:jc w:val="left"/>
              <w:rPr>
                <w:rFonts w:hint="eastAsia" w:asciiTheme="majorEastAsia" w:hAnsiTheme="majorEastAsia" w:eastAsiaTheme="majorEastAsia" w:cstheme="majorEastAsia"/>
                <w:sz w:val="21"/>
                <w:szCs w:val="21"/>
              </w:rPr>
            </w:pPr>
            <w:r>
              <w:rPr>
                <w:rFonts w:hint="eastAsia" w:asciiTheme="minorEastAsia" w:hAnsiTheme="minorEastAsia" w:eastAsiaTheme="minorEastAsia" w:cstheme="minorEastAsia"/>
                <w:color w:val="auto"/>
                <w:szCs w:val="21"/>
                <w:highlight w:val="none"/>
                <w:lang w:val="en-US" w:eastAsia="zh-CN"/>
              </w:rPr>
              <w:t>管理人员功能</w:t>
            </w:r>
          </w:p>
          <w:p w14:paraId="2FDB78A6">
            <w:pPr>
              <w:numPr>
                <w:ilvl w:val="0"/>
                <w:numId w:val="30"/>
              </w:numPr>
              <w:bidi w:val="0"/>
              <w:ind w:left="0" w:firstLine="420" w:firstLineChars="20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系统提供移动端绑定人员查询及强制解绑功能，管理员可查询移动端绑定教师人数、学生人数及移动端绑定人员信息，包含人员编号、姓名、院系、绑定时间等信息。</w:t>
            </w:r>
          </w:p>
          <w:p w14:paraId="47BC5335">
            <w:pPr>
              <w:numPr>
                <w:ilvl w:val="0"/>
                <w:numId w:val="30"/>
              </w:numPr>
              <w:bidi w:val="0"/>
              <w:ind w:left="0" w:firstLine="420" w:firstLineChars="20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系统提供移动端消息推送功能，管理人员可自定义消息内容向指定用户定向推送移动端通知；</w:t>
            </w:r>
          </w:p>
          <w:p w14:paraId="3D81DCB0">
            <w:pPr>
              <w:numPr>
                <w:ilvl w:val="0"/>
                <w:numId w:val="30"/>
              </w:numPr>
              <w:bidi w:val="0"/>
              <w:ind w:left="0" w:firstLine="420" w:firstLineChars="20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系统提供自动消息推送功能，包含教师/学生明日课表推送提醒、监考安排提醒、考试安排提醒、审核提醒、审核结果提醒、成绩提醒、评价提醒、通知提醒、异动截止日期提醒等推送类型，每一项推送类型均提供开关由管理人员设置是否开启系统的自动推送功能；</w:t>
            </w:r>
          </w:p>
          <w:p w14:paraId="2843C50C">
            <w:pPr>
              <w:numPr>
                <w:ilvl w:val="0"/>
                <w:numId w:val="30"/>
              </w:numPr>
              <w:bidi w:val="0"/>
              <w:ind w:left="0" w:firstLine="420" w:firstLineChars="200"/>
              <w:jc w:val="lef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提供各类消息推送记录的统一查询功能，包含消息推送类型、接收人编号、接收人姓名、推送内容明细、推送时间、推送状态、结果说明等内容，供管理人员查询或检测提醒消息是否成功推送；</w:t>
            </w:r>
          </w:p>
          <w:p w14:paraId="3C813792">
            <w:pPr>
              <w:numPr>
                <w:ilvl w:val="0"/>
                <w:numId w:val="30"/>
              </w:numPr>
              <w:ind w:left="0" w:firstLine="420" w:firstLineChars="200"/>
              <w:jc w:val="left"/>
              <w:rPr>
                <w:rFonts w:hint="default" w:asciiTheme="minorEastAsia" w:hAnsiTheme="minorEastAsia" w:eastAsiaTheme="minorEastAsia" w:cstheme="minorEastAsia"/>
                <w:color w:val="auto"/>
                <w:szCs w:val="21"/>
                <w:highlight w:val="none"/>
                <w:lang w:val="en-US" w:eastAsia="zh-CN"/>
              </w:rPr>
            </w:pPr>
            <w:r>
              <w:rPr>
                <w:rFonts w:hint="eastAsia" w:asciiTheme="majorEastAsia" w:hAnsiTheme="majorEastAsia" w:eastAsiaTheme="majorEastAsia" w:cstheme="majorEastAsia"/>
                <w:sz w:val="21"/>
                <w:szCs w:val="21"/>
              </w:rPr>
              <w:t>系统支持图表形式对每日或选定日期区间的教务移动端的访问量进行统计分析，统计项包括移动端课表查询、教师监考安排、学生课程成绩、校历查询、学生学习情况、学生考试安排、空闲教室查询、学生培养计划、考级成绩、教师授课任务、公告通知、学生课堂评价等多项信息。</w:t>
            </w:r>
          </w:p>
          <w:p w14:paraId="19DFB09B">
            <w:pPr>
              <w:numPr>
                <w:ilvl w:val="0"/>
                <w:numId w:val="28"/>
              </w:numPr>
              <w:bidi w:val="0"/>
              <w:ind w:left="5" w:firstLine="415" w:firstLineChars="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21"/>
                <w:highlight w:val="none"/>
                <w:lang w:val="en-US" w:eastAsia="zh-CN"/>
              </w:rPr>
              <w:t>教师及管理人员功能</w:t>
            </w:r>
          </w:p>
          <w:p w14:paraId="44B7AB25"/>
          <w:p w14:paraId="45B93968">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用户维护</w:t>
            </w:r>
          </w:p>
          <w:p w14:paraId="78BDF70B">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教师账号维护：提供教师账号初始化密码功能。</w:t>
            </w:r>
          </w:p>
          <w:p w14:paraId="50087ED1">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学生账号维护：提供学生账号初始化密码功能。</w:t>
            </w:r>
          </w:p>
          <w:p w14:paraId="23D6CDFF">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学籍信息</w:t>
            </w:r>
          </w:p>
          <w:p w14:paraId="649D72D5">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学期注册信息：提供扫码注册功能。</w:t>
            </w:r>
          </w:p>
          <w:p w14:paraId="26DF33A1">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新生注册登记：提供新生扫码注册登记功能。</w:t>
            </w:r>
          </w:p>
          <w:p w14:paraId="56862780">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教学工作</w:t>
            </w:r>
          </w:p>
          <w:p w14:paraId="2DBC97A4">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学生考勤情况：查询、录入学生考勤情况；</w:t>
            </w:r>
          </w:p>
          <w:p w14:paraId="54640CED">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开课申请：提交开课申请（如公选课开课申请等），支持录入课程基本信息及课程中、英文简介，支持附件上传；</w:t>
            </w:r>
          </w:p>
          <w:p w14:paraId="465019EE">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授课任务：查询各学期授课任务信息，支持查询、下载上课学生名单，可查询教学日历表信息，</w:t>
            </w:r>
            <w:commentRangeStart w:id="13"/>
            <w:r>
              <w:rPr>
                <w:rFonts w:hint="eastAsia" w:asciiTheme="minorEastAsia" w:hAnsiTheme="minorEastAsia" w:eastAsiaTheme="minorEastAsia" w:cstheme="minorEastAsia"/>
                <w:b w:val="0"/>
                <w:bCs w:val="0"/>
                <w:color w:val="auto"/>
                <w:szCs w:val="21"/>
                <w:highlight w:val="none"/>
              </w:rPr>
              <w:t>可发布课程评论</w:t>
            </w:r>
            <w:commentRangeEnd w:id="13"/>
            <w:r>
              <w:commentReference w:id="13"/>
            </w:r>
            <w:r>
              <w:rPr>
                <w:rFonts w:hint="eastAsia" w:asciiTheme="minorEastAsia" w:hAnsiTheme="minorEastAsia" w:eastAsiaTheme="minorEastAsia" w:cstheme="minorEastAsia"/>
                <w:b w:val="0"/>
                <w:bCs w:val="0"/>
                <w:color w:val="auto"/>
                <w:szCs w:val="21"/>
                <w:highlight w:val="none"/>
              </w:rPr>
              <w:t>。</w:t>
            </w:r>
          </w:p>
          <w:p w14:paraId="6304D96A">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调停补课：提交调停补课申请，查询申请记录及审核情况；</w:t>
            </w:r>
          </w:p>
          <w:p w14:paraId="62A1DBE7">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课表查询：个人课表查询，包含上课时间、场地、授课内容等信息；</w:t>
            </w:r>
          </w:p>
          <w:p w14:paraId="7FAA95C3">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全校课表：提供多种组合查询条件查询全校课表信息。</w:t>
            </w:r>
          </w:p>
          <w:p w14:paraId="1DD07146">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考试安排：查询监考任务安排，含考试时间、场地等信息。</w:t>
            </w:r>
          </w:p>
          <w:p w14:paraId="626CC806">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教室借用申请：提交教室借用申请，查询申请记录及审核情况；</w:t>
            </w:r>
          </w:p>
          <w:p w14:paraId="45D92430">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材填报：支持提交教材填报信息；提交教师用书申请；提交新增教材申请，新增教材支持AI识别书目功能，系统自动识别版权页教材信息，自动填充ISBN号、教材名称、出版社、出版年月、主编、编者、教材单价等信息；</w:t>
            </w:r>
          </w:p>
          <w:p w14:paraId="781DF87C">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小组课安排：提供艺术类专业课按学生分小组进行课表安排的功能； </w:t>
            </w:r>
          </w:p>
          <w:p w14:paraId="7E6081EA">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学生缓考认定：对学生提交的缓考申请记录进行认定操作；</w:t>
            </w:r>
          </w:p>
          <w:p w14:paraId="6359DA2A">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成绩管理</w:t>
            </w:r>
          </w:p>
          <w:p w14:paraId="03B716B8">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成绩录入：支持设置成绩比例，录入学生课程成绩，支持提交成绩退回申请，支持通过对成绩单拍照方式自动识别并录入学生成绩。</w:t>
            </w:r>
          </w:p>
          <w:p w14:paraId="16C5FEB9">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补考成绩录入：录入、提交各学期学生补考成绩。</w:t>
            </w:r>
          </w:p>
          <w:p w14:paraId="00DC615F">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成绩复核认定：对学生提交的成绩复核申请进行认定，或提交成绩变更申请。 </w:t>
            </w:r>
          </w:p>
          <w:p w14:paraId="27D42355">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评价工作</w:t>
            </w:r>
          </w:p>
          <w:p w14:paraId="78FF756F">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教学评价：查询学生对教师的评价结果信息，包含期末结课评价及随堂评价结果； </w:t>
            </w:r>
          </w:p>
          <w:p w14:paraId="3ED1FF49">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教师听课评价：督导专家或听课教师可随时查询全校课表信息，进行在线督课查课，线上提交评价结果；可完成管理人员安排的评价；可查询自己的参评记录，也可查询对我的评价； </w:t>
            </w:r>
          </w:p>
          <w:p w14:paraId="721E0518">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教师评学：可对上课教学班进行评价； </w:t>
            </w:r>
          </w:p>
          <w:p w14:paraId="2F1B8383">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问卷调查：可完成管理人员发布的问卷调查评价； </w:t>
            </w:r>
          </w:p>
          <w:p w14:paraId="555AD42E">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信息查询</w:t>
            </w:r>
          </w:p>
          <w:p w14:paraId="2381EB21">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教师卡片：查看、编辑教师个人基本信息，提供教师个人业绩库管理功能，包含出版教材、实践项目、获奖类、课题类、课程建设、论文类，提供教师资格证上传功能； </w:t>
            </w:r>
          </w:p>
          <w:p w14:paraId="5AF9F581">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校历查看： 查看学期校历信息，校历能体现上课、休息日期，支持下载校历附件； </w:t>
            </w:r>
          </w:p>
          <w:p w14:paraId="7DE00DE3">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培养方案查询：查询各年级专业培养任务，包含培养任务、培养要求等信息； </w:t>
            </w:r>
          </w:p>
          <w:p w14:paraId="106BD739">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教学工作量：查询个人教学工作量，支持在线申请新增工作量，支持在线提交工作量复核申请；</w:t>
            </w:r>
          </w:p>
          <w:p w14:paraId="2D602BE4">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实践管理</w:t>
            </w:r>
          </w:p>
          <w:p w14:paraId="6DF1D2B9">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个人项目申报：个人项目或课题申报，录入项目基本信息，支持上传申报书附件，提交送审；</w:t>
            </w:r>
          </w:p>
          <w:p w14:paraId="5A7433A4">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创新学分申报：可为学生申报创新学分，审核通过生效； </w:t>
            </w:r>
          </w:p>
          <w:p w14:paraId="68CFE787">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项目评审：评审专家对教师个人申报项目或课题进行评审； </w:t>
            </w:r>
          </w:p>
          <w:p w14:paraId="251ADC3D">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体测管理</w:t>
            </w:r>
          </w:p>
          <w:p w14:paraId="41283DE4">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体测成绩录入：录入或导入学生各体测项目成绩，系统自动检查各分项成绩是否符合规范，自动计算标准总分。 </w:t>
            </w:r>
          </w:p>
          <w:p w14:paraId="50E97965">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流程审核</w:t>
            </w:r>
          </w:p>
          <w:p w14:paraId="41D0F96B">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提供移动端审核服务，包含成绩录入审核、成绩复核审核、缓考审核、成绩加分审核、免修审核、调停补课审核、教室申请审核、学籍变动审核等审核功能。</w:t>
            </w:r>
          </w:p>
          <w:p w14:paraId="24A28333">
            <w:pPr>
              <w:numPr>
                <w:ilvl w:val="0"/>
                <w:numId w:val="31"/>
              </w:numPr>
              <w:ind w:left="5" w:firstLine="415" w:firstLineChars="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其它服务</w:t>
            </w:r>
          </w:p>
          <w:p w14:paraId="705CD343">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意见反馈：提交意见反馈信息，如场地设施、学风反馈等内容；</w:t>
            </w:r>
          </w:p>
          <w:p w14:paraId="4FC20209">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教务公告：查询教务公告通知，支持附件下载；</w:t>
            </w:r>
          </w:p>
          <w:p w14:paraId="2FF35CE0">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教室查询：查询每日教室使用情况，含上课占用、考试使用、教室借用等信息；</w:t>
            </w:r>
          </w:p>
          <w:p w14:paraId="78660360">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修改密码：提供修改密码功能；</w:t>
            </w:r>
          </w:p>
          <w:p w14:paraId="58D09471">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扫码登录：提供扫码登录PC端功能；</w:t>
            </w:r>
          </w:p>
          <w:p w14:paraId="18433A73">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模拟登陆：提供模拟登陆教师、学生账号功能；</w:t>
            </w:r>
          </w:p>
          <w:p w14:paraId="50BD52B4">
            <w:pPr>
              <w:ind w:firstLine="420" w:firstLineChars="200"/>
              <w:jc w:val="left"/>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签名设置：提供教师电子签名录入功能，供系统中报表输出使用；</w:t>
            </w:r>
          </w:p>
          <w:p w14:paraId="5935C91A">
            <w:r>
              <w:rPr>
                <w:rFonts w:hint="eastAsia" w:asciiTheme="minorEastAsia" w:hAnsiTheme="minorEastAsia" w:eastAsiaTheme="minorEastAsia" w:cstheme="minorEastAsia"/>
                <w:b w:val="0"/>
                <w:bCs w:val="0"/>
                <w:color w:val="auto"/>
                <w:szCs w:val="21"/>
                <w:highlight w:val="none"/>
              </w:rPr>
              <w:t>推送设置：提供消息开关，设置是否接收各类消息推送；设置是否开启各类系统消息推送，包含课表推送、考试推送、审核信息推送</w:t>
            </w:r>
            <w:r>
              <w:rPr>
                <w:rFonts w:hint="eastAsia" w:asciiTheme="minorEastAsia" w:hAnsiTheme="minorEastAsia" w:eastAsiaTheme="minorEastAsia" w:cstheme="minorEastAsia"/>
                <w:color w:val="auto"/>
                <w:szCs w:val="21"/>
                <w:highlight w:val="none"/>
              </w:rPr>
              <w:t>等。</w:t>
            </w:r>
          </w:p>
          <w:p w14:paraId="76259548">
            <w:pPr>
              <w:ind w:firstLine="420"/>
              <w:jc w:val="left"/>
              <w:rPr>
                <w:rFonts w:hint="eastAsia" w:asciiTheme="minorEastAsia" w:hAnsiTheme="minorEastAsia" w:eastAsiaTheme="minorEastAsia" w:cstheme="minorEastAsia"/>
                <w:color w:val="auto"/>
                <w:szCs w:val="21"/>
                <w:lang w:val="en-US" w:eastAsia="zh-CN"/>
              </w:rPr>
            </w:pPr>
          </w:p>
        </w:tc>
        <w:tc>
          <w:tcPr>
            <w:tcW w:w="385" w:type="pct"/>
            <w:shd w:val="clear" w:color="auto" w:fill="auto"/>
            <w:noWrap w:val="0"/>
            <w:vAlign w:val="center"/>
          </w:tcPr>
          <w:p w14:paraId="3756FE3E">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16E7451A">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2C8F9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1FFA025D">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22</w:t>
            </w:r>
          </w:p>
        </w:tc>
        <w:tc>
          <w:tcPr>
            <w:tcW w:w="412" w:type="pct"/>
            <w:shd w:val="clear" w:color="auto" w:fill="auto"/>
            <w:noWrap w:val="0"/>
            <w:tcMar>
              <w:top w:w="13" w:type="dxa"/>
              <w:left w:w="57" w:type="dxa"/>
              <w:bottom w:w="0" w:type="dxa"/>
              <w:right w:w="57" w:type="dxa"/>
            </w:tcMar>
            <w:vAlign w:val="center"/>
          </w:tcPr>
          <w:p w14:paraId="288A7BF2">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学生移动端服务</w:t>
            </w:r>
          </w:p>
        </w:tc>
        <w:tc>
          <w:tcPr>
            <w:tcW w:w="3562" w:type="pct"/>
            <w:gridSpan w:val="2"/>
            <w:shd w:val="clear" w:color="auto" w:fill="auto"/>
            <w:noWrap w:val="0"/>
            <w:tcMar>
              <w:top w:w="13" w:type="dxa"/>
              <w:left w:w="57" w:type="dxa"/>
              <w:bottom w:w="0" w:type="dxa"/>
              <w:right w:w="57" w:type="dxa"/>
            </w:tcMar>
            <w:vAlign w:val="center"/>
          </w:tcPr>
          <w:p w14:paraId="2A0200BE">
            <w:pPr>
              <w:numPr>
                <w:ilvl w:val="0"/>
                <w:numId w:val="32"/>
              </w:numPr>
              <w:ind w:left="0" w:firstLine="420" w:firstLineChars="0"/>
              <w:jc w:val="left"/>
              <w:rPr>
                <w:rFonts w:hint="default"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总体要求：</w:t>
            </w:r>
          </w:p>
          <w:p w14:paraId="49792AD2">
            <w:pPr>
              <w:numPr>
                <w:ilvl w:val="0"/>
                <w:numId w:val="33"/>
              </w:numPr>
              <w:ind w:left="5" w:firstLine="415"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提供学生移动端服务，学生可通过手机进行各类常用教务服务的查询与办理。移动端提供各类消息提醒功能，包含上课提醒、考试安排提醒、审核审批结果提醒等消息通知。</w:t>
            </w:r>
          </w:p>
          <w:p w14:paraId="07CA0F50">
            <w:pPr>
              <w:numPr>
                <w:ilvl w:val="0"/>
                <w:numId w:val="33"/>
              </w:numPr>
              <w:ind w:left="5" w:firstLine="415"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szCs w:val="21"/>
                <w:highlight w:val="none"/>
              </w:rPr>
              <w:t>移动端</w:t>
            </w:r>
            <w:r>
              <w:rPr>
                <w:rFonts w:hint="eastAsia" w:asciiTheme="minorEastAsia" w:hAnsiTheme="minorEastAsia" w:eastAsiaTheme="minorEastAsia" w:cstheme="minorEastAsia"/>
                <w:b w:val="0"/>
                <w:bCs w:val="0"/>
                <w:color w:val="auto"/>
                <w:szCs w:val="21"/>
                <w:highlight w:val="none"/>
                <w:lang w:val="en-US" w:eastAsia="zh-CN"/>
              </w:rPr>
              <w:t>源代码</w:t>
            </w:r>
            <w:r>
              <w:rPr>
                <w:rFonts w:hint="eastAsia" w:asciiTheme="minorEastAsia" w:hAnsiTheme="minorEastAsia" w:eastAsiaTheme="minorEastAsia" w:cstheme="minorEastAsia"/>
                <w:b w:val="0"/>
                <w:bCs w:val="0"/>
                <w:color w:val="auto"/>
                <w:szCs w:val="21"/>
                <w:highlight w:val="none"/>
              </w:rPr>
              <w:t>要求</w:t>
            </w:r>
            <w:r>
              <w:rPr>
                <w:rFonts w:hint="eastAsia" w:asciiTheme="minorEastAsia" w:hAnsiTheme="minorEastAsia" w:eastAsiaTheme="minorEastAsia" w:cstheme="minorEastAsia"/>
                <w:b w:val="0"/>
                <w:bCs w:val="0"/>
                <w:color w:val="auto"/>
                <w:szCs w:val="21"/>
                <w:highlight w:val="none"/>
                <w:lang w:val="en-US" w:eastAsia="zh-CN"/>
              </w:rPr>
              <w:t>使用H5语言进行编写，便于</w:t>
            </w:r>
            <w:r>
              <w:rPr>
                <w:rFonts w:hint="eastAsia" w:asciiTheme="minorEastAsia" w:hAnsiTheme="minorEastAsia" w:eastAsiaTheme="minorEastAsia" w:cstheme="minorEastAsia"/>
                <w:b w:val="0"/>
                <w:bCs w:val="0"/>
                <w:color w:val="auto"/>
                <w:highlight w:val="none"/>
              </w:rPr>
              <w:t>能够在手机、平板等移动设备兼容适配，要求支持国际化多语言切换，可自主切换选择中文简/繁体、英语、日本等多种语言版本，满足港澳台及留学生教学服务需求。</w:t>
            </w:r>
          </w:p>
          <w:p w14:paraId="2B0F8155">
            <w:pPr>
              <w:numPr>
                <w:ilvl w:val="0"/>
                <w:numId w:val="32"/>
              </w:numPr>
              <w:ind w:left="5" w:firstLine="415" w:firstLineChars="0"/>
              <w:jc w:val="left"/>
              <w:rPr>
                <w:rFonts w:hint="default"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具体功能描述</w:t>
            </w:r>
          </w:p>
          <w:p w14:paraId="01AF8311">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信息查询</w:t>
            </w:r>
          </w:p>
          <w:p w14:paraId="2D2B0A40">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学籍卡片：查询、核对学生个人校内信息、生源信息、家庭信息、高考信息、简历信息、毕业信息等内容。 </w:t>
            </w:r>
          </w:p>
          <w:p w14:paraId="12DACFC1">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学习计划：查询学生所在培养计划及计划课程任务明细等信息。 </w:t>
            </w:r>
          </w:p>
          <w:p w14:paraId="5409960C">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上课任务：查询各学期上课任务，含课程大类、修读方式、学时等信息，也可查询网考号、教学日历</w:t>
            </w:r>
            <w:commentRangeStart w:id="14"/>
            <w:r>
              <w:rPr>
                <w:rFonts w:hint="eastAsia" w:asciiTheme="minorEastAsia" w:hAnsiTheme="minorEastAsia" w:eastAsiaTheme="minorEastAsia" w:cstheme="minorEastAsia"/>
                <w:b w:val="0"/>
                <w:bCs w:val="0"/>
                <w:color w:val="auto"/>
                <w:highlight w:val="none"/>
              </w:rPr>
              <w:t>、课程评论留言板内容，支持发布课程评论留言</w:t>
            </w:r>
            <w:commentRangeEnd w:id="14"/>
            <w:r>
              <w:commentReference w:id="14"/>
            </w:r>
            <w:r>
              <w:rPr>
                <w:rFonts w:hint="eastAsia" w:asciiTheme="minorEastAsia" w:hAnsiTheme="minorEastAsia" w:eastAsiaTheme="minorEastAsia" w:cstheme="minorEastAsia"/>
                <w:b w:val="0"/>
                <w:bCs w:val="0"/>
                <w:color w:val="auto"/>
                <w:highlight w:val="none"/>
              </w:rPr>
              <w:t xml:space="preserve">。 </w:t>
            </w:r>
          </w:p>
          <w:p w14:paraId="788F9753">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课表查询：查询个人课表信息。 </w:t>
            </w:r>
          </w:p>
          <w:p w14:paraId="3B5FD2F0">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考级成绩：查询个人等级考试成绩。</w:t>
            </w:r>
          </w:p>
          <w:p w14:paraId="407D230F">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学籍预警：提供学籍预警查询功能，允许学生提交预警解除申请。 </w:t>
            </w:r>
          </w:p>
          <w:p w14:paraId="429C82B9">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课程成绩：查询全部已获得的课程成绩，含总成绩、考试性质（正常考试、补考、重修等）、学时学分、绩点、成绩标志等信息。</w:t>
            </w:r>
          </w:p>
          <w:p w14:paraId="17C3143F">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体测成绩：查询体质测评成绩，含总成绩及各分项成绩明细。 </w:t>
            </w:r>
          </w:p>
          <w:p w14:paraId="0C9137BB">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考试安排：查询考试安排信息，含考试课程、考试时间地点等信息。 </w:t>
            </w:r>
          </w:p>
          <w:p w14:paraId="1479A8AB">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教学校历：查询各学期教学校历，支持下载校历附件。 </w:t>
            </w:r>
          </w:p>
          <w:p w14:paraId="672399FC">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操作日志：查询本人账号全部操作日志明细。 </w:t>
            </w:r>
          </w:p>
          <w:p w14:paraId="10A4AAFC">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过程成绩：查询教师录入的学生学习过程中的过程成绩。 </w:t>
            </w:r>
          </w:p>
          <w:p w14:paraId="79310715">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教室查询：查询教室使用情况，含上课占用、考试使用、教室借用等信息。</w:t>
            </w:r>
          </w:p>
          <w:p w14:paraId="5F94ABF1">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学习情况：查询各项毕业学分要求的学分获得情况。</w:t>
            </w:r>
          </w:p>
          <w:p w14:paraId="2C9A3003">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教务公告：查询教务公告通知，支持下载公告通知附件。</w:t>
            </w:r>
          </w:p>
          <w:p w14:paraId="1E76BBCF">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全校课表：查询全校课表信息。</w:t>
            </w:r>
          </w:p>
          <w:p w14:paraId="32031358">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业务办理</w:t>
            </w:r>
          </w:p>
          <w:p w14:paraId="769DD8B1">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缓考申请：允许学生提交缓考申请，上传各类证明材料， 经审核审批通过后，学生相应课程的成绩即会打上“缓考”成绩标识； </w:t>
            </w:r>
          </w:p>
          <w:p w14:paraId="554ACD83">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免听申请：允许学生提交课程免听申请／课次免听申请，上传各类证明材料，经审核审批通过后，考勤记录自动排除通过免听申请的学生； </w:t>
            </w:r>
          </w:p>
          <w:p w14:paraId="0C1D66BC">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免修申请：允许学生提交已修免修/未修免修申请，上传各类证明材料，经审核审批通过后系统自动为学生添加免修通过的课程成绩； </w:t>
            </w:r>
          </w:p>
          <w:p w14:paraId="7A575998">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选订教材：学生线上进行教材选订；</w:t>
            </w:r>
          </w:p>
          <w:p w14:paraId="47B72133">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教室借用申请：学生提交教室借用申请，查询审核情况； </w:t>
            </w:r>
          </w:p>
          <w:p w14:paraId="17DF78FD">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成绩复核申请：学生提交成绩复核申请，查询审核情况；</w:t>
            </w:r>
          </w:p>
          <w:p w14:paraId="2A8C465F">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请假申请：学生提交请假申请，上传各类证明材料，查询审核情况；</w:t>
            </w:r>
          </w:p>
          <w:p w14:paraId="2B1BBE85">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信息变动申请：允许学生提交学籍信息变动申请，查询审核情况。</w:t>
            </w:r>
          </w:p>
          <w:p w14:paraId="355E04CD">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报名服务</w:t>
            </w:r>
          </w:p>
          <w:p w14:paraId="521B6B24">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选课报名：学生能在移动端进行选课、退选操作，包括预选、正选、补/退选等不同阶段的选课，可查看选课结果。</w:t>
            </w:r>
          </w:p>
          <w:p w14:paraId="00D574F7">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补重修报名：学生能在移动端进行补修、重修报名操作；</w:t>
            </w:r>
          </w:p>
          <w:p w14:paraId="4ABEF139">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毕业设计（论文）：学生能在移动端进行毕业题目选题操作；</w:t>
            </w:r>
          </w:p>
          <w:p w14:paraId="3C43973F">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考级报名：学生能在移动端进行各类等级考试报名，如大学英语四、六级，计算机等级考试等； </w:t>
            </w:r>
          </w:p>
          <w:p w14:paraId="182BA166">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考试报名：学生能在移动端提交补考考试报名申请，经管理员确认后生效；</w:t>
            </w:r>
          </w:p>
          <w:p w14:paraId="10D5EDDC">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创新项目</w:t>
            </w:r>
          </w:p>
          <w:p w14:paraId="6B3A8878">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创新学分申请：学生可在线提交创新学分申报，查询管理员人审核情况及认定学分。</w:t>
            </w:r>
          </w:p>
          <w:p w14:paraId="5316948D">
            <w:pPr>
              <w:ind w:firstLine="420" w:firstLineChars="200"/>
              <w:jc w:val="left"/>
              <w:rPr>
                <w:rFonts w:hint="eastAsia" w:asciiTheme="minorEastAsia" w:hAnsiTheme="minorEastAsia" w:eastAsiaTheme="minorEastAsia" w:cstheme="minorEastAsia"/>
                <w:b w:val="0"/>
                <w:bCs w:val="0"/>
                <w:color w:val="auto"/>
                <w:highlight w:val="none"/>
              </w:rPr>
            </w:pPr>
            <w:commentRangeStart w:id="15"/>
            <w:r>
              <w:rPr>
                <w:rFonts w:hint="eastAsia" w:asciiTheme="minorEastAsia" w:hAnsiTheme="minorEastAsia" w:eastAsiaTheme="minorEastAsia" w:cstheme="minorEastAsia"/>
                <w:b w:val="0"/>
                <w:bCs w:val="0"/>
                <w:color w:val="auto"/>
                <w:highlight w:val="none"/>
              </w:rPr>
              <w:t>课外课题申报：学生可线上提交课外课题项目申报，支持上传项目申报书，也支持学生进行课外课题选题报名。</w:t>
            </w:r>
            <w:commentRangeEnd w:id="15"/>
            <w:r>
              <w:commentReference w:id="15"/>
            </w:r>
          </w:p>
          <w:p w14:paraId="50CE8B75">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课题结题申请：学生可线上提交课题结题申请，支持上传结题附件，查询审核情况。</w:t>
            </w:r>
          </w:p>
          <w:p w14:paraId="66964FAB">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个人报销申请：学生可线上提交项目报销申请，查询审核情况。</w:t>
            </w:r>
          </w:p>
          <w:p w14:paraId="42FF6C81">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课题成果申报：学生可线上提交课题成果申报，查询审核情况。 </w:t>
            </w:r>
          </w:p>
          <w:p w14:paraId="6636296E">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评价信息</w:t>
            </w:r>
          </w:p>
          <w:p w14:paraId="439C4AA4">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教学评价：提交评教师、评课程、问卷调查、随堂评价等多种教学评价。</w:t>
            </w:r>
          </w:p>
          <w:p w14:paraId="7611C461">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优秀教师评选：可对各学期任课教师进行排名评选。</w:t>
            </w:r>
          </w:p>
          <w:p w14:paraId="682C6910">
            <w:pPr>
              <w:numPr>
                <w:ilvl w:val="0"/>
                <w:numId w:val="34"/>
              </w:numPr>
              <w:ind w:left="0" w:firstLine="420" w:firstLineChars="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其它服务</w:t>
            </w:r>
          </w:p>
          <w:p w14:paraId="24564624">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课堂速报：学生可对每日课堂填报课堂情况，如教师误课等情况。</w:t>
            </w:r>
          </w:p>
          <w:p w14:paraId="45175543">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意见反馈：学生可在移动端提交意见建议，可查询管理人员的回复情况。</w:t>
            </w:r>
          </w:p>
          <w:p w14:paraId="5010C968">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修改密码：学生可自行修改本人账号密码。</w:t>
            </w:r>
          </w:p>
          <w:p w14:paraId="51028142">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扫码登录：移动端扫描PC端登录界面的二维码，PC端即可登入系统。</w:t>
            </w:r>
          </w:p>
          <w:p w14:paraId="46B9FA89">
            <w:pPr>
              <w:ind w:firstLine="420" w:firstLineChars="200"/>
              <w:jc w:val="lef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推送设置：提供推送开关，允许学生自行设置</w:t>
            </w:r>
            <w:r>
              <w:rPr>
                <w:rFonts w:hint="eastAsia" w:asciiTheme="minorEastAsia" w:hAnsiTheme="minorEastAsia" w:eastAsiaTheme="minorEastAsia" w:cstheme="minorEastAsia"/>
                <w:b w:val="0"/>
                <w:bCs w:val="0"/>
                <w:color w:val="auto"/>
                <w:highlight w:val="none"/>
                <w:lang w:val="en-US" w:eastAsia="zh-CN"/>
              </w:rPr>
              <w:t>是</w:t>
            </w:r>
            <w:r>
              <w:rPr>
                <w:rFonts w:hint="eastAsia" w:asciiTheme="minorEastAsia" w:hAnsiTheme="minorEastAsia" w:eastAsiaTheme="minorEastAsia" w:cstheme="minorEastAsia"/>
                <w:b w:val="0"/>
                <w:bCs w:val="0"/>
                <w:color w:val="auto"/>
                <w:highlight w:val="none"/>
              </w:rPr>
              <w:t>否</w:t>
            </w:r>
            <w:r>
              <w:commentReference w:id="16"/>
            </w:r>
            <w:r>
              <w:rPr>
                <w:rFonts w:hint="eastAsia" w:asciiTheme="minorEastAsia" w:hAnsiTheme="minorEastAsia" w:eastAsiaTheme="minorEastAsia" w:cstheme="minorEastAsia"/>
                <w:b w:val="0"/>
                <w:bCs w:val="0"/>
                <w:color w:val="auto"/>
                <w:highlight w:val="none"/>
              </w:rPr>
              <w:t>接收各类消息提醒推送，如上课提醒、考试安排提醒等。</w:t>
            </w:r>
          </w:p>
          <w:p w14:paraId="68A9CD9C">
            <w:pPr>
              <w:ind w:firstLine="422"/>
              <w:jc w:val="left"/>
              <w:rPr>
                <w:rFonts w:hint="eastAsia" w:asciiTheme="minorEastAsia" w:hAnsiTheme="minorEastAsia" w:eastAsiaTheme="minorEastAsia" w:cstheme="minorEastAsia"/>
                <w:b w:val="0"/>
                <w:bCs w:val="0"/>
                <w:color w:val="auto"/>
                <w:lang w:val="en-US" w:eastAsia="zh-CN"/>
              </w:rPr>
            </w:pPr>
          </w:p>
        </w:tc>
        <w:tc>
          <w:tcPr>
            <w:tcW w:w="385" w:type="pct"/>
            <w:shd w:val="clear" w:color="auto" w:fill="auto"/>
            <w:noWrap w:val="0"/>
            <w:vAlign w:val="center"/>
          </w:tcPr>
          <w:p w14:paraId="18A17180">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314F31ED">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6478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62DDEF99">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23</w:t>
            </w:r>
          </w:p>
        </w:tc>
        <w:tc>
          <w:tcPr>
            <w:tcW w:w="412" w:type="pct"/>
            <w:shd w:val="clear" w:color="auto" w:fill="auto"/>
            <w:noWrap w:val="0"/>
            <w:tcMar>
              <w:top w:w="13" w:type="dxa"/>
              <w:left w:w="57" w:type="dxa"/>
              <w:bottom w:w="0" w:type="dxa"/>
              <w:right w:w="57" w:type="dxa"/>
            </w:tcMar>
            <w:vAlign w:val="center"/>
          </w:tcPr>
          <w:p w14:paraId="4C0E131E">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自定义数据交换模块</w:t>
            </w:r>
          </w:p>
        </w:tc>
        <w:tc>
          <w:tcPr>
            <w:tcW w:w="3562" w:type="pct"/>
            <w:gridSpan w:val="2"/>
            <w:shd w:val="clear" w:color="auto" w:fill="auto"/>
            <w:noWrap w:val="0"/>
            <w:tcMar>
              <w:top w:w="13" w:type="dxa"/>
              <w:left w:w="57" w:type="dxa"/>
              <w:bottom w:w="0" w:type="dxa"/>
              <w:right w:w="57" w:type="dxa"/>
            </w:tcMar>
            <w:vAlign w:val="center"/>
          </w:tcPr>
          <w:p w14:paraId="41025BBC">
            <w:pPr>
              <w:widowControl/>
              <w:numPr>
                <w:ilvl w:val="-1"/>
                <w:numId w:val="0"/>
              </w:numPr>
              <w:ind w:left="0" w:leftChars="0" w:firstLine="420" w:firstLineChars="200"/>
              <w:jc w:val="left"/>
              <w:textAlignment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集成ETL工具，提供数据提取、转换、装载工具，完成与人事、学工、自助打印、电子班牌或智慧教室等第三方系统之间的数据共享功能。</w:t>
            </w:r>
          </w:p>
          <w:p w14:paraId="7ECA7505">
            <w:r>
              <w:rPr>
                <w:rFonts w:hint="eastAsia" w:asciiTheme="minorEastAsia" w:hAnsiTheme="minorEastAsia" w:eastAsiaTheme="minorEastAsia" w:cstheme="minorEastAsia"/>
                <w:color w:val="auto"/>
                <w:highlight w:val="none"/>
              </w:rPr>
              <w:t>系统能够实现多项事务的定时自动执行功能，支持自定义定时任务的执行时间和执行策略，可查询定时任务执行结果日志。</w:t>
            </w:r>
          </w:p>
          <w:p w14:paraId="57AC6975">
            <w:pPr>
              <w:widowControl/>
              <w:numPr>
                <w:ilvl w:val="-1"/>
                <w:numId w:val="0"/>
              </w:numPr>
              <w:ind w:left="0" w:firstLine="420" w:firstLineChars="200"/>
              <w:jc w:val="left"/>
              <w:textAlignment w:val="center"/>
              <w:rPr>
                <w:rFonts w:hint="eastAsia" w:asciiTheme="minorEastAsia" w:hAnsiTheme="minorEastAsia" w:eastAsiaTheme="minorEastAsia" w:cstheme="minorEastAsia"/>
                <w:color w:val="auto"/>
                <w:lang w:val="en-US" w:eastAsia="zh-CN"/>
              </w:rPr>
            </w:pPr>
          </w:p>
        </w:tc>
        <w:tc>
          <w:tcPr>
            <w:tcW w:w="385" w:type="pct"/>
            <w:shd w:val="clear" w:color="auto" w:fill="auto"/>
            <w:noWrap w:val="0"/>
            <w:vAlign w:val="center"/>
          </w:tcPr>
          <w:p w14:paraId="45FD6BBF">
            <w:pPr>
              <w:keepLines w:val="0"/>
              <w:pageBreakBefore w:val="0"/>
              <w:widowControl/>
              <w:kinsoku/>
              <w:wordWrap/>
              <w:overflowPunct/>
              <w:topLinePunct w:val="0"/>
              <w:autoSpaceDE/>
              <w:autoSpaceDN/>
              <w:bidi w:val="0"/>
              <w:adjustRightInd/>
              <w:spacing w:line="240" w:lineRule="auto"/>
              <w:ind w:firstLine="0" w:firstLineChars="0"/>
              <w:jc w:val="center"/>
              <w:textAlignment w:val="top"/>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365CE588">
            <w:pPr>
              <w:keepNext w:val="0"/>
              <w:keepLines w:val="0"/>
              <w:widowControl/>
              <w:suppressLineNumbers w:val="0"/>
              <w:jc w:val="center"/>
              <w:textAlignment w:val="center"/>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0F72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92" w:type="pct"/>
            <w:noWrap w:val="0"/>
            <w:tcMar>
              <w:top w:w="13" w:type="dxa"/>
              <w:left w:w="57" w:type="dxa"/>
              <w:bottom w:w="0" w:type="dxa"/>
              <w:right w:w="57" w:type="dxa"/>
            </w:tcMar>
            <w:vAlign w:val="center"/>
          </w:tcPr>
          <w:p w14:paraId="094B83B9">
            <w:pPr>
              <w:keepNext w:val="0"/>
              <w:keepLines w:val="0"/>
              <w:widowControl/>
              <w:suppressLineNumbers w:val="0"/>
              <w:jc w:val="center"/>
              <w:textAlignment w:val="center"/>
              <w:rPr>
                <w:rFonts w:hint="default" w:asciiTheme="minorEastAsia" w:hAnsiTheme="minorEastAsia" w:eastAsiaTheme="minorEastAsia" w:cstheme="minorEastAsia"/>
                <w:color w:val="auto"/>
                <w:kern w:val="0"/>
                <w:highlight w:val="none"/>
                <w:lang w:val="en-US" w:bidi="zh-CN"/>
              </w:rPr>
            </w:pPr>
            <w:r>
              <w:rPr>
                <w:rFonts w:hint="eastAsia" w:asciiTheme="minorEastAsia" w:hAnsiTheme="minorEastAsia" w:cstheme="minorEastAsia"/>
                <w:i w:val="0"/>
                <w:iCs w:val="0"/>
                <w:color w:val="auto"/>
                <w:kern w:val="0"/>
                <w:sz w:val="22"/>
                <w:szCs w:val="22"/>
                <w:highlight w:val="none"/>
                <w:u w:val="none"/>
                <w:lang w:val="en-US" w:eastAsia="zh-CN" w:bidi="ar"/>
              </w:rPr>
              <w:t>24</w:t>
            </w:r>
          </w:p>
        </w:tc>
        <w:tc>
          <w:tcPr>
            <w:tcW w:w="412" w:type="pct"/>
            <w:shd w:val="clear" w:color="auto" w:fill="auto"/>
            <w:noWrap w:val="0"/>
            <w:tcMar>
              <w:top w:w="13" w:type="dxa"/>
              <w:left w:w="57" w:type="dxa"/>
              <w:bottom w:w="0" w:type="dxa"/>
              <w:right w:w="57" w:type="dxa"/>
            </w:tcMar>
            <w:vAlign w:val="center"/>
          </w:tcPr>
          <w:p w14:paraId="1B966EB2">
            <w:pPr>
              <w:bidi w:val="0"/>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国产化数据库部署</w:t>
            </w:r>
          </w:p>
        </w:tc>
        <w:tc>
          <w:tcPr>
            <w:tcW w:w="3562" w:type="pct"/>
            <w:gridSpan w:val="2"/>
            <w:shd w:val="clear" w:color="auto" w:fill="auto"/>
            <w:noWrap w:val="0"/>
            <w:tcMar>
              <w:top w:w="13" w:type="dxa"/>
              <w:left w:w="57" w:type="dxa"/>
              <w:bottom w:w="0" w:type="dxa"/>
              <w:right w:w="57" w:type="dxa"/>
            </w:tcMar>
            <w:vAlign w:val="center"/>
          </w:tcPr>
          <w:p w14:paraId="4F556426">
            <w:pPr>
              <w:ind w:firstLine="480"/>
              <w:rPr>
                <w:rFonts w:hint="eastAsia" w:ascii="仿宋" w:hAnsi="仿宋" w:cs="仿宋"/>
              </w:rPr>
            </w:pPr>
            <w:r>
              <w:rPr>
                <w:rFonts w:hint="eastAsia" w:ascii="仿宋" w:hAnsi="仿宋" w:cs="仿宋"/>
              </w:rPr>
              <w:t>通过对教务管理系统软件层面的适配、迁移、重构与优化，实现从硬件适配、操作系统、数据库、中间件到应用软件的全栈国产化适配，满足信创环境运行要求，消除非国产技术依赖，保障教学核心数据安全可控。本项为教务系统软件层面的国产化改造与适配工作，硬件设备由校方提供。</w:t>
            </w:r>
          </w:p>
          <w:p w14:paraId="19EFE20B">
            <w:pPr>
              <w:numPr>
                <w:ilvl w:val="1"/>
                <w:numId w:val="35"/>
              </w:numPr>
              <w:ind w:left="0" w:leftChars="0" w:firstLine="400" w:firstLineChars="0"/>
              <w:rPr>
                <w:rFonts w:hint="eastAsia" w:ascii="仿宋" w:hAnsi="仿宋" w:cs="仿宋"/>
              </w:rPr>
            </w:pPr>
            <w:r>
              <w:rPr>
                <w:rFonts w:hint="eastAsia" w:ascii="仿宋" w:hAnsi="仿宋" w:cs="仿宋"/>
              </w:rPr>
              <w:t>国产硬件适配</w:t>
            </w:r>
          </w:p>
          <w:p w14:paraId="22BF8A7A">
            <w:pPr>
              <w:numPr>
                <w:ilvl w:val="2"/>
                <w:numId w:val="36"/>
              </w:numPr>
              <w:ind w:left="0" w:leftChars="0" w:firstLine="402" w:firstLineChars="0"/>
              <w:rPr>
                <w:rFonts w:hint="eastAsia" w:ascii="仿宋" w:hAnsi="仿宋" w:cs="仿宋"/>
              </w:rPr>
            </w:pPr>
            <w:r>
              <w:rPr>
                <w:rFonts w:hint="eastAsia" w:ascii="仿宋" w:hAnsi="仿宋" w:cs="仿宋"/>
              </w:rPr>
              <w:t>完成教务管理系统与学校国产硬件服务器、终端的软件兼容性适配；</w:t>
            </w:r>
          </w:p>
          <w:p w14:paraId="293032ED">
            <w:pPr>
              <w:numPr>
                <w:ilvl w:val="2"/>
                <w:numId w:val="36"/>
              </w:numPr>
              <w:ind w:left="0" w:leftChars="0" w:firstLine="402" w:firstLineChars="0"/>
              <w:rPr>
                <w:rFonts w:hint="eastAsia" w:ascii="仿宋" w:hAnsi="仿宋" w:cs="仿宋"/>
              </w:rPr>
            </w:pPr>
            <w:r>
              <w:rPr>
                <w:rFonts w:hint="eastAsia" w:ascii="仿宋" w:hAnsi="仿宋" w:cs="仿宋"/>
              </w:rPr>
              <w:t>开展系统在学校国产硬件环境下的全场景压测与稳定性测试，验证教务核心业务的运行流畅性；</w:t>
            </w:r>
          </w:p>
          <w:p w14:paraId="391E8850">
            <w:pPr>
              <w:numPr>
                <w:ilvl w:val="2"/>
                <w:numId w:val="36"/>
              </w:numPr>
              <w:ind w:left="0" w:leftChars="0" w:firstLine="402" w:firstLineChars="0"/>
              <w:rPr>
                <w:rFonts w:hint="eastAsia" w:ascii="仿宋" w:hAnsi="仿宋" w:cs="仿宋"/>
              </w:rPr>
            </w:pPr>
            <w:r>
              <w:rPr>
                <w:rFonts w:hint="eastAsia" w:ascii="仿宋" w:hAnsi="仿宋" w:cs="仿宋"/>
              </w:rPr>
              <w:t>提供学校国产硬件环境下的系统运行适配优化方案，保障系统在国产硬件上的高效运行。</w:t>
            </w:r>
          </w:p>
          <w:p w14:paraId="63603336">
            <w:pPr>
              <w:numPr>
                <w:ilvl w:val="1"/>
                <w:numId w:val="35"/>
              </w:numPr>
              <w:ind w:left="0" w:leftChars="0" w:firstLine="400" w:firstLineChars="0"/>
              <w:rPr>
                <w:rFonts w:hint="eastAsia" w:ascii="仿宋" w:hAnsi="仿宋" w:cs="仿宋"/>
              </w:rPr>
            </w:pPr>
            <w:r>
              <w:rPr>
                <w:rFonts w:hint="eastAsia" w:ascii="仿宋" w:hAnsi="仿宋" w:cs="仿宋"/>
              </w:rPr>
              <w:t>操作系统国产化适配</w:t>
            </w:r>
          </w:p>
          <w:p w14:paraId="7C9989C3">
            <w:pPr>
              <w:numPr>
                <w:ilvl w:val="2"/>
                <w:numId w:val="37"/>
              </w:numPr>
              <w:ind w:left="0" w:leftChars="0" w:firstLine="402" w:firstLineChars="0"/>
              <w:rPr>
                <w:rFonts w:hint="eastAsia" w:ascii="仿宋" w:hAnsi="仿宋" w:cs="仿宋"/>
              </w:rPr>
            </w:pPr>
            <w:r>
              <w:rPr>
                <w:rFonts w:hint="eastAsia" w:ascii="仿宋" w:hAnsi="仿宋" w:cs="仿宋"/>
              </w:rPr>
              <w:t>完成教务管理系统与主流国产服务器 / 终端操作系统的环境适配部署与配置；</w:t>
            </w:r>
          </w:p>
          <w:p w14:paraId="2946F44E">
            <w:pPr>
              <w:numPr>
                <w:ilvl w:val="2"/>
                <w:numId w:val="37"/>
              </w:numPr>
              <w:ind w:left="0" w:leftChars="0" w:firstLine="402" w:firstLineChars="0"/>
              <w:rPr>
                <w:rFonts w:hint="eastAsia" w:ascii="仿宋" w:hAnsi="仿宋" w:cs="仿宋"/>
              </w:rPr>
            </w:pPr>
            <w:r>
              <w:rPr>
                <w:rFonts w:hint="eastAsia" w:ascii="仿宋" w:hAnsi="仿宋" w:cs="仿宋"/>
              </w:rPr>
              <w:t>对系统前端、后端代码进行针对性升级改造，解决跨国产操作系统的运行兼容问题；</w:t>
            </w:r>
          </w:p>
          <w:p w14:paraId="22170E8F">
            <w:pPr>
              <w:numPr>
                <w:ilvl w:val="2"/>
                <w:numId w:val="37"/>
              </w:numPr>
              <w:ind w:left="0" w:leftChars="0" w:firstLine="402" w:firstLineChars="0"/>
              <w:rPr>
                <w:rFonts w:hint="eastAsia" w:ascii="仿宋" w:hAnsi="仿宋" w:cs="仿宋"/>
              </w:rPr>
            </w:pPr>
            <w:r>
              <w:rPr>
                <w:rFonts w:hint="eastAsia" w:ascii="仿宋" w:hAnsi="仿宋" w:cs="仿宋"/>
              </w:rPr>
              <w:t>开展操作系统层的功能联调，确保所有教务业务模块在国产系统中正常运行；</w:t>
            </w:r>
          </w:p>
          <w:p w14:paraId="69963C98">
            <w:pPr>
              <w:numPr>
                <w:ilvl w:val="2"/>
                <w:numId w:val="37"/>
              </w:numPr>
              <w:ind w:left="0" w:leftChars="0" w:firstLine="402" w:firstLineChars="0"/>
              <w:rPr>
                <w:rFonts w:hint="eastAsia" w:ascii="仿宋" w:hAnsi="仿宋" w:cs="仿宋"/>
              </w:rPr>
            </w:pPr>
            <w:r>
              <w:rPr>
                <w:rFonts w:hint="eastAsia" w:ascii="仿宋" w:hAnsi="仿宋" w:cs="仿宋"/>
              </w:rPr>
              <w:t>优化系统在国产操作系统中的运行效率，降低服务器资源占用率，提升页面响应速度。</w:t>
            </w:r>
          </w:p>
          <w:p w14:paraId="439F7959">
            <w:pPr>
              <w:numPr>
                <w:ilvl w:val="1"/>
                <w:numId w:val="35"/>
              </w:numPr>
              <w:ind w:left="0" w:leftChars="0" w:firstLine="400" w:firstLineChars="0"/>
              <w:rPr>
                <w:rFonts w:hint="eastAsia" w:ascii="仿宋" w:hAnsi="仿宋" w:cs="仿宋"/>
              </w:rPr>
            </w:pPr>
            <w:r>
              <w:rPr>
                <w:rFonts w:hint="eastAsia" w:ascii="仿宋" w:hAnsi="仿宋" w:cs="仿宋"/>
              </w:rPr>
              <w:t>数据库国产化适配</w:t>
            </w:r>
          </w:p>
          <w:p w14:paraId="57FF14E9">
            <w:pPr>
              <w:numPr>
                <w:ilvl w:val="2"/>
                <w:numId w:val="38"/>
              </w:numPr>
              <w:ind w:left="0" w:leftChars="0" w:firstLine="402" w:firstLineChars="0"/>
              <w:rPr>
                <w:rFonts w:hint="eastAsia" w:ascii="仿宋" w:hAnsi="仿宋" w:cs="仿宋"/>
              </w:rPr>
            </w:pPr>
            <w:r>
              <w:rPr>
                <w:rFonts w:hint="eastAsia" w:ascii="仿宋" w:hAnsi="仿宋" w:cs="仿宋"/>
              </w:rPr>
              <w:t>梳理教务核心数据（学籍、成绩、课表等）结构，制定教务系统数据向国产数据库的安全迁移方案；</w:t>
            </w:r>
          </w:p>
          <w:p w14:paraId="6FD216B8">
            <w:pPr>
              <w:numPr>
                <w:ilvl w:val="2"/>
                <w:numId w:val="38"/>
              </w:numPr>
              <w:ind w:left="0" w:leftChars="0" w:firstLine="402" w:firstLineChars="0"/>
              <w:rPr>
                <w:rFonts w:hint="eastAsia" w:ascii="仿宋" w:hAnsi="仿宋" w:cs="仿宋"/>
              </w:rPr>
            </w:pPr>
            <w:r>
              <w:rPr>
                <w:rFonts w:hint="eastAsia" w:ascii="仿宋" w:hAnsi="仿宋" w:cs="仿宋"/>
              </w:rPr>
              <w:t>完成全量教学数据向国产数据库的无缝迁移，保障数据无丢失、无错乱、无格式异常；</w:t>
            </w:r>
          </w:p>
          <w:p w14:paraId="69BE7625">
            <w:pPr>
              <w:numPr>
                <w:ilvl w:val="2"/>
                <w:numId w:val="38"/>
              </w:numPr>
              <w:ind w:left="0" w:leftChars="0" w:firstLine="402" w:firstLineChars="0"/>
              <w:rPr>
                <w:rFonts w:hint="eastAsia" w:ascii="仿宋" w:hAnsi="仿宋" w:cs="仿宋"/>
              </w:rPr>
            </w:pPr>
            <w:r>
              <w:rPr>
                <w:rFonts w:hint="eastAsia" w:ascii="仿宋" w:hAnsi="仿宋" w:cs="仿宋"/>
              </w:rPr>
              <w:t>开展国产数据库与系统的接口适配、SQL 语句优化，适配系统的数据库访问逻辑；</w:t>
            </w:r>
          </w:p>
          <w:p w14:paraId="30D207A4">
            <w:pPr>
              <w:numPr>
                <w:ilvl w:val="2"/>
                <w:numId w:val="38"/>
              </w:numPr>
              <w:ind w:left="0" w:leftChars="0" w:firstLine="402" w:firstLineChars="0"/>
              <w:rPr>
                <w:rFonts w:hint="eastAsia" w:asciiTheme="minorEastAsia" w:hAnsiTheme="minorEastAsia" w:eastAsiaTheme="minorEastAsia" w:cstheme="minorEastAsia"/>
                <w:color w:val="auto"/>
                <w:lang w:val="en-US" w:eastAsia="zh-CN"/>
              </w:rPr>
            </w:pPr>
            <w:r>
              <w:rPr>
                <w:rFonts w:hint="eastAsia" w:ascii="仿宋" w:hAnsi="仿宋" w:cs="仿宋"/>
              </w:rPr>
              <w:t>为国产数据库搭建容灾备份机制，强化数据加密、访问权限管控等安全加固措施；</w:t>
            </w:r>
          </w:p>
        </w:tc>
        <w:tc>
          <w:tcPr>
            <w:tcW w:w="385" w:type="pct"/>
            <w:shd w:val="clear" w:color="auto" w:fill="auto"/>
            <w:noWrap w:val="0"/>
            <w:vAlign w:val="center"/>
          </w:tcPr>
          <w:p w14:paraId="13ADF1E8">
            <w:pPr>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套</w:t>
            </w:r>
          </w:p>
        </w:tc>
        <w:tc>
          <w:tcPr>
            <w:tcW w:w="345" w:type="pct"/>
            <w:shd w:val="clear" w:color="auto" w:fill="auto"/>
            <w:noWrap w:val="0"/>
            <w:vAlign w:val="center"/>
          </w:tcPr>
          <w:p w14:paraId="72E36DF1">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kern w:val="0"/>
                <w:sz w:val="21"/>
                <w:szCs w:val="21"/>
                <w:highlight w:val="none"/>
                <w:lang w:val="en-US" w:eastAsia="zh-CN" w:bidi="zh-CN"/>
              </w:rPr>
            </w:pPr>
            <w:r>
              <w:rPr>
                <w:rFonts w:hint="eastAsia" w:asciiTheme="minorEastAsia" w:hAnsiTheme="minorEastAsia" w:eastAsiaTheme="minorEastAsia" w:cstheme="minorEastAsia"/>
                <w:i w:val="0"/>
                <w:iCs w:val="0"/>
                <w:color w:val="auto"/>
                <w:kern w:val="0"/>
                <w:sz w:val="22"/>
                <w:szCs w:val="22"/>
                <w:highlight w:val="none"/>
                <w:u w:val="none"/>
                <w:lang w:val="en-US" w:eastAsia="zh-CN" w:bidi="ar"/>
              </w:rPr>
              <w:t>1</w:t>
            </w:r>
          </w:p>
        </w:tc>
      </w:tr>
      <w:tr w14:paraId="37B8B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trPr>
        <w:tc>
          <w:tcPr>
            <w:tcW w:w="5000" w:type="pct"/>
            <w:gridSpan w:val="6"/>
            <w:noWrap w:val="0"/>
            <w:tcMar>
              <w:top w:w="13" w:type="dxa"/>
              <w:left w:w="57" w:type="dxa"/>
              <w:bottom w:w="0" w:type="dxa"/>
              <w:right w:w="57" w:type="dxa"/>
            </w:tcMar>
            <w:vAlign w:val="center"/>
          </w:tcPr>
          <w:p w14:paraId="3FE49D5E">
            <w:pPr>
              <w:pStyle w:val="4"/>
              <w:bidi w:val="0"/>
              <w:ind w:left="0" w:leftChars="0" w:firstLine="0" w:firstLineChars="0"/>
              <w:rPr>
                <w:rFonts w:hint="eastAsia"/>
                <w:lang w:val="en-US" w:eastAsia="zh-CN"/>
              </w:rPr>
            </w:pPr>
            <w:r>
              <w:rPr>
                <w:rFonts w:hint="eastAsia"/>
                <w:lang w:val="en-US" w:eastAsia="zh-CN"/>
              </w:rPr>
              <w:t>商务要求</w:t>
            </w:r>
          </w:p>
        </w:tc>
      </w:tr>
      <w:tr w14:paraId="559F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65" w:type="pct"/>
            <w:gridSpan w:val="3"/>
            <w:noWrap w:val="0"/>
            <w:tcMar>
              <w:top w:w="13" w:type="dxa"/>
              <w:left w:w="57" w:type="dxa"/>
              <w:bottom w:w="0" w:type="dxa"/>
              <w:right w:w="57" w:type="dxa"/>
            </w:tcMar>
            <w:vAlign w:val="center"/>
          </w:tcPr>
          <w:p w14:paraId="1A05043A">
            <w:pPr>
              <w:rPr>
                <w:rFonts w:hint="eastAsia"/>
                <w:lang w:val="en-US" w:eastAsia="zh-CN"/>
              </w:rPr>
            </w:pPr>
            <w:r>
              <w:rPr>
                <w:rFonts w:hint="eastAsia" w:ascii="仿宋_GB2312" w:hAnsi="仿宋_GB2312" w:eastAsia="仿宋_GB2312" w:cs="仿宋_GB2312"/>
                <w:b/>
                <w:bCs/>
                <w:sz w:val="21"/>
                <w:szCs w:val="21"/>
              </w:rPr>
              <w:t>报价说明</w:t>
            </w:r>
          </w:p>
        </w:tc>
        <w:tc>
          <w:tcPr>
            <w:tcW w:w="4234" w:type="pct"/>
            <w:gridSpan w:val="3"/>
            <w:noWrap w:val="0"/>
            <w:tcMar>
              <w:top w:w="13" w:type="dxa"/>
              <w:left w:w="57" w:type="dxa"/>
              <w:bottom w:w="0" w:type="dxa"/>
              <w:right w:w="57" w:type="dxa"/>
            </w:tcMar>
            <w:vAlign w:val="center"/>
          </w:tcPr>
          <w:p w14:paraId="6AECB128">
            <w:pPr>
              <w:jc w:val="left"/>
              <w:rPr>
                <w:rFonts w:hint="eastAsia" w:ascii="宋体" w:hAnsi="宋体" w:eastAsia="宋体" w:cs="宋体"/>
                <w:sz w:val="21"/>
                <w:szCs w:val="21"/>
              </w:rPr>
            </w:pPr>
            <w:r>
              <w:rPr>
                <w:rFonts w:hint="eastAsia" w:ascii="宋体" w:hAnsi="宋体" w:eastAsia="宋体" w:cs="宋体"/>
                <w:sz w:val="21"/>
                <w:szCs w:val="21"/>
              </w:rPr>
              <w:t>报价为采购人指定地点的现场交付价格，包括但不限于：</w:t>
            </w:r>
          </w:p>
          <w:p w14:paraId="24694766">
            <w:pPr>
              <w:numPr>
                <w:ilvl w:val="2"/>
                <w:numId w:val="39"/>
              </w:numPr>
              <w:ind w:left="0" w:leftChars="0" w:firstLine="402" w:firstLineChars="0"/>
              <w:jc w:val="left"/>
              <w:rPr>
                <w:rFonts w:hint="eastAsia" w:ascii="宋体" w:hAnsi="宋体" w:eastAsia="宋体" w:cs="宋体"/>
                <w:sz w:val="21"/>
                <w:szCs w:val="21"/>
              </w:rPr>
            </w:pPr>
            <w:r>
              <w:rPr>
                <w:rFonts w:hint="eastAsia" w:ascii="宋体" w:hAnsi="宋体" w:eastAsia="宋体" w:cs="宋体"/>
                <w:sz w:val="21"/>
                <w:szCs w:val="21"/>
              </w:rPr>
              <w:t>采购内容中所有货物和服务的价格；</w:t>
            </w:r>
          </w:p>
          <w:p w14:paraId="25230E89">
            <w:pPr>
              <w:numPr>
                <w:ilvl w:val="2"/>
                <w:numId w:val="39"/>
              </w:numPr>
              <w:ind w:left="0" w:leftChars="0" w:firstLine="402" w:firstLineChars="0"/>
              <w:jc w:val="left"/>
              <w:rPr>
                <w:rFonts w:hint="eastAsia" w:ascii="宋体" w:hAnsi="宋体" w:eastAsia="宋体" w:cs="宋体"/>
                <w:sz w:val="21"/>
                <w:szCs w:val="21"/>
              </w:rPr>
            </w:pPr>
            <w:r>
              <w:rPr>
                <w:rFonts w:hint="eastAsia" w:ascii="宋体" w:hAnsi="宋体" w:eastAsia="宋体" w:cs="宋体"/>
                <w:sz w:val="21"/>
                <w:szCs w:val="21"/>
              </w:rPr>
              <w:t>货物的标准附件、备品备件、专用工具的价格；</w:t>
            </w:r>
          </w:p>
          <w:p w14:paraId="4CD2C856">
            <w:pPr>
              <w:numPr>
                <w:ilvl w:val="2"/>
                <w:numId w:val="39"/>
              </w:numPr>
              <w:ind w:left="0" w:leftChars="0" w:firstLine="402" w:firstLineChars="0"/>
              <w:jc w:val="left"/>
              <w:rPr>
                <w:rFonts w:hint="eastAsia" w:ascii="宋体" w:hAnsi="宋体" w:eastAsia="宋体" w:cs="宋体"/>
                <w:sz w:val="21"/>
                <w:szCs w:val="21"/>
              </w:rPr>
            </w:pPr>
            <w:r>
              <w:rPr>
                <w:rFonts w:hint="eastAsia" w:ascii="宋体" w:hAnsi="宋体" w:eastAsia="宋体" w:cs="宋体"/>
                <w:sz w:val="21"/>
                <w:szCs w:val="21"/>
              </w:rPr>
              <w:t>运输、装卸、安装（含安装材料）、调试、培训、技术支持、售后服务的费用，质保期内免费维修、养护、软件升级等费用；</w:t>
            </w:r>
          </w:p>
          <w:p w14:paraId="1C16508E">
            <w:pPr>
              <w:numPr>
                <w:ilvl w:val="2"/>
                <w:numId w:val="39"/>
              </w:numPr>
              <w:ind w:left="0" w:leftChars="0" w:firstLine="402" w:firstLineChars="0"/>
              <w:jc w:val="left"/>
              <w:rPr>
                <w:rFonts w:hint="eastAsia" w:ascii="宋体" w:hAnsi="宋体" w:eastAsia="宋体" w:cs="宋体"/>
                <w:lang w:val="en-US" w:eastAsia="zh-CN"/>
              </w:rPr>
            </w:pPr>
            <w:r>
              <w:rPr>
                <w:rFonts w:hint="eastAsia" w:ascii="宋体" w:hAnsi="宋体" w:eastAsia="宋体" w:cs="宋体"/>
                <w:sz w:val="21"/>
                <w:szCs w:val="21"/>
              </w:rPr>
              <w:t>必要的保险、检测费用和各项税费等。</w:t>
            </w:r>
          </w:p>
        </w:tc>
      </w:tr>
      <w:tr w14:paraId="34E1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65" w:type="pct"/>
            <w:gridSpan w:val="3"/>
            <w:noWrap w:val="0"/>
            <w:tcMar>
              <w:top w:w="13" w:type="dxa"/>
              <w:left w:w="57" w:type="dxa"/>
              <w:bottom w:w="0" w:type="dxa"/>
              <w:right w:w="57" w:type="dxa"/>
            </w:tcMar>
            <w:vAlign w:val="center"/>
          </w:tcPr>
          <w:p w14:paraId="097BD4A1">
            <w:pPr>
              <w:rPr>
                <w:rFonts w:hint="eastAsia"/>
                <w:lang w:val="en-US" w:eastAsia="zh-CN"/>
              </w:rPr>
            </w:pPr>
            <w:r>
              <w:rPr>
                <w:rFonts w:hint="eastAsia" w:ascii="仿宋_GB2312" w:hAnsi="仿宋_GB2312" w:eastAsia="仿宋_GB2312" w:cs="仿宋_GB2312"/>
                <w:b/>
                <w:bCs/>
                <w:sz w:val="21"/>
                <w:szCs w:val="21"/>
              </w:rPr>
              <w:t>质保期</w:t>
            </w:r>
          </w:p>
        </w:tc>
        <w:tc>
          <w:tcPr>
            <w:tcW w:w="4234" w:type="pct"/>
            <w:gridSpan w:val="3"/>
            <w:noWrap w:val="0"/>
            <w:tcMar>
              <w:top w:w="13" w:type="dxa"/>
              <w:left w:w="57" w:type="dxa"/>
              <w:bottom w:w="0" w:type="dxa"/>
              <w:right w:w="57" w:type="dxa"/>
            </w:tcMar>
            <w:vAlign w:val="center"/>
          </w:tcPr>
          <w:p w14:paraId="39AEFBE1">
            <w:pPr>
              <w:jc w:val="left"/>
              <w:rPr>
                <w:rFonts w:hint="eastAsia" w:ascii="宋体" w:hAnsi="宋体" w:eastAsia="宋体" w:cs="宋体"/>
                <w:lang w:val="en-US" w:eastAsia="zh-CN"/>
              </w:rPr>
            </w:pPr>
            <w:r>
              <w:rPr>
                <w:rFonts w:hint="eastAsia" w:ascii="宋体" w:hAnsi="宋体" w:eastAsia="宋体" w:cs="宋体"/>
                <w:sz w:val="21"/>
                <w:szCs w:val="21"/>
              </w:rPr>
              <w:t>所有货物服务按国家“三包”有关规定执行“三包”。质保期自交付验收合格之日起计算，质保期内提供上门维修、更换和软件升级服务；质保期结束后，提供终身维护，并优惠提供相关零配件。</w:t>
            </w:r>
          </w:p>
        </w:tc>
      </w:tr>
      <w:tr w14:paraId="5C80F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765" w:type="pct"/>
            <w:gridSpan w:val="3"/>
            <w:noWrap w:val="0"/>
            <w:tcMar>
              <w:top w:w="13" w:type="dxa"/>
              <w:left w:w="57" w:type="dxa"/>
              <w:bottom w:w="0" w:type="dxa"/>
              <w:right w:w="57" w:type="dxa"/>
            </w:tcMar>
            <w:vAlign w:val="center"/>
          </w:tcPr>
          <w:p w14:paraId="71DD3905">
            <w:pP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产品及售后服务要求</w:t>
            </w:r>
          </w:p>
        </w:tc>
        <w:tc>
          <w:tcPr>
            <w:tcW w:w="4234" w:type="pct"/>
            <w:gridSpan w:val="3"/>
            <w:noWrap w:val="0"/>
            <w:tcMar>
              <w:top w:w="13" w:type="dxa"/>
              <w:left w:w="57" w:type="dxa"/>
              <w:bottom w:w="0" w:type="dxa"/>
              <w:right w:w="57" w:type="dxa"/>
            </w:tcMar>
            <w:vAlign w:val="center"/>
          </w:tcPr>
          <w:p w14:paraId="1790B499">
            <w:pPr>
              <w:numPr>
                <w:ilvl w:val="2"/>
                <w:numId w:val="40"/>
              </w:numPr>
              <w:ind w:left="0" w:leftChars="0" w:firstLine="402" w:firstLineChars="0"/>
              <w:jc w:val="left"/>
              <w:rPr>
                <w:rFonts w:hint="eastAsia" w:ascii="宋体" w:hAnsi="宋体" w:eastAsia="宋体" w:cs="宋体"/>
                <w:b/>
                <w:sz w:val="21"/>
                <w:szCs w:val="21"/>
              </w:rPr>
            </w:pPr>
            <w:r>
              <w:rPr>
                <w:rFonts w:hint="eastAsia" w:ascii="宋体" w:hAnsi="宋体" w:eastAsia="宋体" w:cs="宋体"/>
                <w:sz w:val="21"/>
                <w:szCs w:val="21"/>
              </w:rPr>
              <w:t>成交人交付的所有设备必须是签订合同之日前</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rPr>
              <w:t>半</w:t>
            </w:r>
            <w:r>
              <w:rPr>
                <w:rFonts w:hint="eastAsia" w:ascii="宋体" w:hAnsi="宋体" w:eastAsia="宋体" w:cs="宋体"/>
                <w:sz w:val="21"/>
                <w:szCs w:val="21"/>
                <w:u w:val="single"/>
              </w:rPr>
              <w:t xml:space="preserve"> </w:t>
            </w:r>
            <w:r>
              <w:rPr>
                <w:rFonts w:hint="eastAsia" w:ascii="宋体" w:hAnsi="宋体" w:eastAsia="宋体" w:cs="宋体"/>
                <w:sz w:val="21"/>
                <w:szCs w:val="21"/>
              </w:rPr>
              <w:t>年内生产的产品。</w:t>
            </w:r>
          </w:p>
          <w:p w14:paraId="17165A18">
            <w:pPr>
              <w:numPr>
                <w:ilvl w:val="2"/>
                <w:numId w:val="40"/>
              </w:numPr>
              <w:ind w:left="0" w:leftChars="0" w:firstLine="402" w:firstLineChars="0"/>
              <w:jc w:val="left"/>
              <w:rPr>
                <w:rFonts w:hint="eastAsia" w:ascii="宋体" w:hAnsi="宋体" w:eastAsia="宋体" w:cs="宋体"/>
                <w:b/>
                <w:sz w:val="21"/>
                <w:szCs w:val="21"/>
              </w:rPr>
            </w:pPr>
            <w:r>
              <w:rPr>
                <w:rFonts w:hint="eastAsia" w:ascii="宋体" w:hAnsi="宋体" w:eastAsia="宋体" w:cs="宋体"/>
                <w:sz w:val="21"/>
                <w:szCs w:val="21"/>
              </w:rPr>
              <w:t>送货至采购人指定地点，协助进行安装场地设计，完成安装和调试。所有安装应符合国家、行业相关标准及规范。</w:t>
            </w:r>
            <w:r>
              <w:rPr>
                <w:rFonts w:hint="eastAsia" w:ascii="宋体" w:hAnsi="宋体" w:eastAsia="宋体" w:cs="宋体"/>
                <w:b/>
                <w:sz w:val="21"/>
                <w:szCs w:val="21"/>
              </w:rPr>
              <w:t>（所有货物仅接受现场交付，不接受邮递）</w:t>
            </w:r>
          </w:p>
          <w:p w14:paraId="3FA755B7">
            <w:pPr>
              <w:numPr>
                <w:ilvl w:val="2"/>
                <w:numId w:val="40"/>
              </w:numPr>
              <w:ind w:left="0" w:leftChars="0" w:firstLine="402" w:firstLineChars="0"/>
              <w:jc w:val="left"/>
              <w:rPr>
                <w:rFonts w:hint="eastAsia" w:ascii="宋体" w:hAnsi="宋体" w:eastAsia="宋体" w:cs="宋体"/>
                <w:sz w:val="21"/>
                <w:szCs w:val="21"/>
              </w:rPr>
            </w:pPr>
            <w:r>
              <w:rPr>
                <w:rFonts w:hint="eastAsia" w:ascii="宋体" w:hAnsi="宋体" w:eastAsia="宋体" w:cs="宋体"/>
                <w:sz w:val="21"/>
                <w:szCs w:val="21"/>
              </w:rPr>
              <w:t>为采购人提供产品操作、维修、日常养护等方面的培训，确保采购方使用人员能独立操作使用，培训人数、时间、地点等由采购人指定。</w:t>
            </w:r>
          </w:p>
          <w:p w14:paraId="587B61F6">
            <w:pPr>
              <w:numPr>
                <w:ilvl w:val="2"/>
                <w:numId w:val="40"/>
              </w:numPr>
              <w:ind w:left="0" w:leftChars="0" w:firstLine="402" w:firstLineChars="0"/>
              <w:jc w:val="left"/>
              <w:rPr>
                <w:rFonts w:hint="eastAsia" w:ascii="宋体" w:hAnsi="宋体" w:eastAsia="宋体" w:cs="宋体"/>
                <w:sz w:val="21"/>
                <w:szCs w:val="21"/>
                <w:lang w:val="en-US"/>
              </w:rPr>
            </w:pPr>
            <w:r>
              <w:rPr>
                <w:rFonts w:hint="eastAsia" w:ascii="宋体" w:hAnsi="宋体" w:eastAsia="宋体" w:cs="宋体"/>
                <w:sz w:val="21"/>
                <w:szCs w:val="21"/>
              </w:rPr>
              <w:t>故障响应时间：在使用过程中出现质量问题，成交人在接到采购人通知后</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lang w:val="en-US"/>
              </w:rPr>
              <w:t xml:space="preserve"> </w:t>
            </w:r>
            <w:r>
              <w:rPr>
                <w:rFonts w:hint="eastAsia" w:ascii="宋体" w:hAnsi="宋体" w:eastAsia="宋体" w:cs="宋体"/>
                <w:sz w:val="21"/>
                <w:szCs w:val="21"/>
              </w:rPr>
              <w:t>小时作出响应；如需到达现场解决的，在</w:t>
            </w:r>
            <w:r>
              <w:rPr>
                <w:rFonts w:hint="eastAsia" w:ascii="宋体" w:hAnsi="宋体" w:eastAsia="宋体" w:cs="宋体"/>
                <w:sz w:val="21"/>
                <w:szCs w:val="21"/>
                <w:u w:val="single"/>
                <w:lang w:val="en-US"/>
              </w:rPr>
              <w:t xml:space="preserve"> 4 </w:t>
            </w:r>
            <w:r>
              <w:rPr>
                <w:rFonts w:hint="eastAsia" w:ascii="宋体" w:hAnsi="宋体" w:eastAsia="宋体" w:cs="宋体"/>
                <w:sz w:val="21"/>
                <w:szCs w:val="21"/>
              </w:rPr>
              <w:t>小时内应到达现场，</w:t>
            </w:r>
            <w:r>
              <w:rPr>
                <w:rFonts w:hint="eastAsia" w:ascii="宋体" w:hAnsi="宋体" w:eastAsia="宋体" w:cs="宋体"/>
                <w:sz w:val="21"/>
                <w:szCs w:val="21"/>
                <w:u w:val="single"/>
                <w:lang w:val="en-US"/>
              </w:rPr>
              <w:t xml:space="preserve"> 24 </w:t>
            </w:r>
            <w:r>
              <w:rPr>
                <w:rFonts w:hint="eastAsia" w:ascii="宋体" w:hAnsi="宋体" w:eastAsia="宋体" w:cs="宋体"/>
                <w:sz w:val="21"/>
                <w:szCs w:val="21"/>
                <w:lang w:val="en-US"/>
              </w:rPr>
              <w:t>小时内解决问题。</w:t>
            </w:r>
          </w:p>
          <w:p w14:paraId="10596119">
            <w:pPr>
              <w:numPr>
                <w:ilvl w:val="2"/>
                <w:numId w:val="40"/>
              </w:numPr>
              <w:ind w:left="0" w:leftChars="0" w:firstLine="402" w:firstLineChars="0"/>
              <w:jc w:val="left"/>
              <w:rPr>
                <w:rFonts w:hint="eastAsia" w:ascii="宋体" w:hAnsi="宋体" w:eastAsia="宋体" w:cs="宋体"/>
                <w:sz w:val="21"/>
                <w:szCs w:val="21"/>
              </w:rPr>
            </w:pPr>
            <w:r>
              <w:rPr>
                <w:rFonts w:hint="eastAsia" w:ascii="宋体" w:hAnsi="宋体" w:eastAsia="宋体" w:cs="宋体"/>
                <w:sz w:val="21"/>
                <w:szCs w:val="21"/>
              </w:rPr>
              <w:t>成交人须遵守校园出入规定，在供货、安装过程中确保相关人员安全。供货、安装过程中产生的残留物或垃圾，成交人需自行清理至校外。</w:t>
            </w:r>
          </w:p>
        </w:tc>
      </w:tr>
      <w:tr w14:paraId="7FE4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6"/>
            <w:noWrap w:val="0"/>
            <w:tcMar>
              <w:top w:w="13" w:type="dxa"/>
              <w:left w:w="57" w:type="dxa"/>
              <w:bottom w:w="0" w:type="dxa"/>
              <w:right w:w="57" w:type="dxa"/>
            </w:tcMar>
            <w:vAlign w:val="center"/>
          </w:tcPr>
          <w:p w14:paraId="3B5DF147">
            <w:pPr>
              <w:pStyle w:val="4"/>
              <w:bidi w:val="0"/>
              <w:ind w:left="0" w:leftChars="0" w:firstLine="0" w:firstLineChars="0"/>
              <w:rPr>
                <w:rFonts w:hint="eastAsia"/>
              </w:rPr>
            </w:pPr>
            <w:r>
              <w:rPr>
                <w:rFonts w:hint="eastAsia"/>
              </w:rPr>
              <w:t>其它</w:t>
            </w:r>
          </w:p>
        </w:tc>
      </w:tr>
      <w:tr w14:paraId="4B1C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6"/>
            <w:noWrap w:val="0"/>
            <w:tcMar>
              <w:top w:w="13" w:type="dxa"/>
              <w:left w:w="57" w:type="dxa"/>
              <w:bottom w:w="0" w:type="dxa"/>
              <w:right w:w="57" w:type="dxa"/>
            </w:tcMar>
            <w:vAlign w:val="center"/>
          </w:tcPr>
          <w:p w14:paraId="28601E3E">
            <w:pPr>
              <w:numPr>
                <w:ilvl w:val="2"/>
                <w:numId w:val="41"/>
              </w:numPr>
              <w:ind w:left="0" w:leftChars="0" w:firstLine="402" w:firstLineChars="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数据迁移要求：</w:t>
            </w:r>
          </w:p>
          <w:p w14:paraId="5E83C740">
            <w:pPr>
              <w:numPr>
                <w:ilvl w:val="3"/>
                <w:numId w:val="41"/>
              </w:numPr>
              <w:ind w:left="0" w:leftChars="0" w:firstLine="402" w:firstLineChars="0"/>
              <w:jc w:val="left"/>
              <w:rPr>
                <w:rFonts w:hint="eastAsia" w:ascii="宋体" w:hAnsi="宋体" w:eastAsia="宋体" w:cs="宋体"/>
                <w:color w:val="auto"/>
                <w:spacing w:val="-2"/>
                <w:sz w:val="21"/>
                <w:szCs w:val="21"/>
                <w:highlight w:val="none"/>
              </w:rPr>
            </w:pPr>
            <w:bookmarkStart w:id="0" w:name="OLE_LINK2"/>
            <w:r>
              <w:rPr>
                <w:rFonts w:hint="eastAsia" w:ascii="宋体" w:hAnsi="宋体" w:eastAsia="宋体" w:cs="宋体"/>
                <w:color w:val="auto"/>
                <w:spacing w:val="-2"/>
                <w:sz w:val="21"/>
                <w:szCs w:val="21"/>
                <w:highlight w:val="none"/>
              </w:rPr>
              <w:t>总体原则</w:t>
            </w:r>
          </w:p>
          <w:p w14:paraId="357D8D1C">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完整性要求：保证教务系统数据完整性，确保数据迁移无丢失，新系统的数据结构应优于原教务系统的数据库表结构。</w:t>
            </w:r>
          </w:p>
          <w:p w14:paraId="232515CB">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一致性要求：为保证新旧数据一致性，数据迁移应使用新旧系统的数据库直接迁移，禁止通过导出/导入、第三方工具等方式迁移。</w:t>
            </w:r>
          </w:p>
          <w:p w14:paraId="55380C7D">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安全性要求：防止在数据迁移过程中出现数据篡改或数据泄漏，需实现数据库对库直接迁移，不得通过数据导出/导入方式进行迁移。</w:t>
            </w:r>
          </w:p>
          <w:p w14:paraId="61FE253F">
            <w:pPr>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全量迁移要求：由于原有教务系统包含大量历史过程性数据，本次数据迁移需要将原有系统的所有数据进行数据迁移，包括这些数据之间的关联关系</w:t>
            </w:r>
          </w:p>
          <w:p w14:paraId="74CED6FA">
            <w:pPr>
              <w:numPr>
                <w:ilvl w:val="3"/>
                <w:numId w:val="41"/>
              </w:numPr>
              <w:ind w:left="0" w:leftChars="0" w:firstLine="402" w:firstLineChars="0"/>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迁移方案及迁移脚本要求</w:t>
            </w:r>
          </w:p>
          <w:p w14:paraId="4FD1B97E">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需提供原教务管理系统迁移到新系统的数据迁移脚本示例，包括但不限于权限信息、学生信息、学生学籍信息、教学计划数据、开课计划、教学任务数据、排课数据、排考数据、成绩数据、评教数据、毕业审核数据等。</w:t>
            </w:r>
          </w:p>
          <w:p w14:paraId="051044CA">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提供完整的数据迁移方案：在数据迁移方案中需要对业务数据迁移做完整描述，包括迁移脚本等。本项涉及到学校教学的核心数据，关系到学校数十年数据的完整性和安全性，如方案描述不清晰，评标专家将进行电话远程询问，确保方案切实可行。</w:t>
            </w:r>
          </w:p>
          <w:bookmarkEnd w:id="0"/>
          <w:p w14:paraId="628D2D39">
            <w:pPr>
              <w:numPr>
                <w:ilvl w:val="2"/>
                <w:numId w:val="41"/>
              </w:numPr>
              <w:ind w:left="0" w:leftChars="0" w:firstLine="402" w:firstLineChars="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对接要求</w:t>
            </w:r>
          </w:p>
          <w:p w14:paraId="52DB1E85">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本项目所涉及的所有业务系统产生的数据，均须无条件、免费、完整地按学校信息中心要求接入学校数据中心</w:t>
            </w:r>
            <w:r>
              <w:rPr>
                <w:rFonts w:hint="eastAsia" w:ascii="宋体" w:hAnsi="宋体" w:eastAsia="宋体" w:cs="宋体"/>
                <w:spacing w:val="-2"/>
                <w:sz w:val="21"/>
                <w:szCs w:val="21"/>
                <w:highlight w:val="none"/>
                <w:lang w:val="en-US" w:eastAsia="zh-CN"/>
              </w:rPr>
              <w:t>及其他原有暂时无法转移到学校数据中心的对接业务</w:t>
            </w:r>
            <w:r>
              <w:rPr>
                <w:rFonts w:hint="eastAsia" w:ascii="宋体" w:hAnsi="宋体" w:eastAsia="宋体" w:cs="宋体"/>
                <w:spacing w:val="-2"/>
                <w:sz w:val="21"/>
                <w:szCs w:val="21"/>
                <w:highlight w:val="none"/>
              </w:rPr>
              <w:t>，实现数据的集中管理、共享交换与互联互通，打破信息孤岛，提升数据质量，支撑学校管理与决策的智能化、精准化。</w:t>
            </w:r>
          </w:p>
          <w:p w14:paraId="602657C3">
            <w:pPr>
              <w:ind w:firstLine="412" w:firstLineChars="200"/>
              <w:jc w:val="left"/>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业务系统须对接学校统一身份认证平台，实现单点登录和统一身份认证，用户通过统一身份认证平台可以直接访问系统，无需二次登录。移动端须对接学校企业微信或移动校园平台，实现统一入口访问。</w:t>
            </w:r>
          </w:p>
          <w:p w14:paraId="7AAB2208">
            <w:pPr>
              <w:numPr>
                <w:ilvl w:val="2"/>
                <w:numId w:val="41"/>
              </w:numPr>
              <w:ind w:left="0" w:leftChars="0" w:firstLine="402" w:firstLineChars="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安全要求</w:t>
            </w:r>
          </w:p>
          <w:p w14:paraId="048E97C7">
            <w:pPr>
              <w:ind w:firstLine="412" w:firstLineChars="200"/>
              <w:jc w:val="left"/>
              <w:rPr>
                <w:rFonts w:hint="eastAsia" w:ascii="仿宋_GB2312" w:hAnsi="仿宋_GB2312" w:eastAsia="仿宋_GB2312" w:cs="仿宋_GB2312"/>
                <w:sz w:val="21"/>
                <w:szCs w:val="21"/>
              </w:rPr>
            </w:pPr>
            <w:r>
              <w:rPr>
                <w:rFonts w:hint="eastAsia" w:ascii="宋体" w:hAnsi="宋体" w:eastAsia="宋体" w:cs="宋体"/>
                <w:spacing w:val="-2"/>
                <w:sz w:val="21"/>
                <w:szCs w:val="21"/>
                <w:highlight w:val="none"/>
              </w:rPr>
              <w:t>本项目须严格按照《中华人民共和国网络安全法》《信息安全等级保护管理办法》及国家网络安全等级保护制度的相关规定，完成信息系统的安全等级保护定级、备案、测评及整改工作。项目建成后，必须通过</w:t>
            </w:r>
            <w:r>
              <w:rPr>
                <w:rFonts w:hint="eastAsia" w:ascii="宋体" w:hAnsi="宋体" w:eastAsia="宋体" w:cs="宋体"/>
                <w:b/>
                <w:bCs/>
                <w:spacing w:val="-2"/>
                <w:sz w:val="21"/>
                <w:szCs w:val="21"/>
                <w:highlight w:val="none"/>
              </w:rPr>
              <w:t>网络安全等级保护二级（等保二级）测评</w:t>
            </w:r>
            <w:r>
              <w:rPr>
                <w:rFonts w:hint="eastAsia" w:ascii="宋体" w:hAnsi="宋体" w:eastAsia="宋体" w:cs="宋体"/>
                <w:spacing w:val="-2"/>
                <w:sz w:val="21"/>
                <w:szCs w:val="21"/>
                <w:highlight w:val="none"/>
              </w:rPr>
              <w:t>，确保系统具备抵御一般性网络攻击的能力，保障业务连续性和数据安全。</w:t>
            </w:r>
          </w:p>
        </w:tc>
      </w:tr>
    </w:tbl>
    <w:p w14:paraId="104CF721">
      <w:pPr>
        <w:rPr>
          <w:rFonts w:hint="eastAsia" w:ascii="宋体" w:hAnsi="宋体" w:eastAsia="宋体" w:cs="宋体"/>
          <w:sz w:val="32"/>
          <w:szCs w:val="32"/>
        </w:rPr>
      </w:pPr>
      <w:r>
        <w:rPr>
          <w:rFonts w:hint="eastAsia" w:ascii="宋体" w:hAnsi="宋体" w:eastAsia="宋体" w:cs="宋体"/>
          <w:sz w:val="32"/>
          <w:szCs w:val="32"/>
        </w:rPr>
        <w:br w:type="page"/>
      </w:r>
    </w:p>
    <w:p w14:paraId="2A1BB2F9">
      <w:pPr>
        <w:spacing w:line="360" w:lineRule="auto"/>
        <w:rPr>
          <w:rFonts w:hint="eastAsia" w:ascii="黑体" w:hAnsi="黑体" w:eastAsia="黑体" w:cs="宋体"/>
          <w:b/>
          <w:bCs/>
          <w:color w:val="000000"/>
          <w:sz w:val="32"/>
          <w:szCs w:val="32"/>
        </w:rPr>
      </w:pPr>
      <w:r>
        <w:rPr>
          <w:rFonts w:hint="eastAsia" w:ascii="黑体" w:hAnsi="黑体" w:eastAsia="黑体" w:cs="宋体"/>
          <w:b/>
          <w:bCs/>
          <w:color w:val="000000"/>
          <w:sz w:val="32"/>
          <w:szCs w:val="32"/>
        </w:rPr>
        <w:t>附件2</w:t>
      </w:r>
    </w:p>
    <w:p w14:paraId="57A4215A">
      <w:pPr>
        <w:jc w:val="center"/>
        <w:rPr>
          <w:rFonts w:ascii="宋体" w:hAnsi="宋体" w:cs="宋体"/>
          <w:b/>
          <w:bCs/>
          <w:color w:val="000000"/>
          <w:sz w:val="32"/>
          <w:szCs w:val="32"/>
        </w:rPr>
      </w:pPr>
      <w:r>
        <w:rPr>
          <w:rFonts w:hint="eastAsia" w:ascii="宋体" w:hAnsi="宋体" w:cs="宋体"/>
          <w:b/>
          <w:bCs/>
          <w:color w:val="000000"/>
          <w:sz w:val="32"/>
          <w:szCs w:val="32"/>
        </w:rPr>
        <w:t>法定代表人授权委托书</w:t>
      </w:r>
    </w:p>
    <w:p w14:paraId="5F9B261E">
      <w:pPr>
        <w:pStyle w:val="14"/>
        <w:spacing w:line="480" w:lineRule="exact"/>
        <w:rPr>
          <w:rFonts w:hAnsi="宋体" w:cs="宋体"/>
          <w:color w:val="000000"/>
          <w:sz w:val="28"/>
          <w:szCs w:val="28"/>
        </w:rPr>
      </w:pPr>
      <w:r>
        <w:rPr>
          <w:rFonts w:hint="eastAsia" w:hAnsi="宋体" w:cs="宋体"/>
          <w:color w:val="000000"/>
          <w:sz w:val="28"/>
          <w:szCs w:val="28"/>
          <w:lang w:val="en-US" w:eastAsia="zh-CN"/>
        </w:rPr>
        <w:t>湖北医药学院</w:t>
      </w:r>
      <w:r>
        <w:rPr>
          <w:rFonts w:hint="eastAsia" w:hAnsi="宋体" w:cs="宋体"/>
          <w:color w:val="000000"/>
          <w:sz w:val="28"/>
          <w:szCs w:val="28"/>
        </w:rPr>
        <w:t>：</w:t>
      </w:r>
    </w:p>
    <w:p w14:paraId="3F7B9A7D">
      <w:pPr>
        <w:spacing w:line="480" w:lineRule="exact"/>
        <w:ind w:firstLine="560" w:firstLineChars="200"/>
        <w:rPr>
          <w:rFonts w:ascii="宋体" w:hAnsi="宋体" w:cs="宋体"/>
          <w:bCs/>
          <w:color w:val="000000"/>
          <w:sz w:val="28"/>
          <w:szCs w:val="28"/>
          <w:u w:val="single"/>
        </w:rPr>
      </w:pPr>
      <w:r>
        <w:rPr>
          <w:rFonts w:hint="eastAsia" w:ascii="宋体" w:hAnsi="宋体" w:cs="宋体"/>
          <w:color w:val="000000"/>
          <w:sz w:val="28"/>
          <w:szCs w:val="28"/>
        </w:rPr>
        <w:t>兹授权</w:t>
      </w:r>
      <w:r>
        <w:rPr>
          <w:rFonts w:ascii="宋体" w:hAnsi="宋体" w:cs="宋体"/>
          <w:color w:val="000000"/>
          <w:sz w:val="28"/>
          <w:szCs w:val="28"/>
          <w:u w:val="single"/>
        </w:rPr>
        <w:t xml:space="preserve">      </w:t>
      </w:r>
      <w:r>
        <w:rPr>
          <w:rFonts w:hint="eastAsia" w:ascii="宋体" w:hAnsi="宋体" w:cs="宋体"/>
          <w:color w:val="000000"/>
          <w:sz w:val="28"/>
          <w:szCs w:val="28"/>
        </w:rPr>
        <w:t>同志为我公司参加贵单位组织的</w:t>
      </w:r>
      <w:r>
        <w:rPr>
          <w:rFonts w:ascii="宋体" w:hAnsi="宋体" w:cs="宋体"/>
          <w:bCs/>
          <w:color w:val="000000"/>
          <w:sz w:val="28"/>
          <w:szCs w:val="28"/>
          <w:u w:val="single"/>
        </w:rPr>
        <w:t xml:space="preserve"> </w:t>
      </w:r>
      <w:r>
        <w:rPr>
          <w:rFonts w:hint="eastAsia" w:ascii="宋体" w:hAnsi="宋体" w:cs="宋体"/>
          <w:bCs/>
          <w:color w:val="000000"/>
          <w:sz w:val="28"/>
          <w:szCs w:val="28"/>
          <w:u w:val="single"/>
          <w:lang w:val="en-US" w:eastAsia="zh-CN"/>
        </w:rPr>
        <w:t>湖北医药学院教务管理系统升级服务</w:t>
      </w:r>
      <w:r>
        <w:rPr>
          <w:rFonts w:hint="eastAsia" w:ascii="宋体" w:hAnsi="宋体" w:cs="宋体"/>
          <w:bCs/>
          <w:color w:val="000000"/>
          <w:sz w:val="28"/>
          <w:szCs w:val="28"/>
          <w:u w:val="single"/>
        </w:rPr>
        <w:t xml:space="preserve"> </w:t>
      </w:r>
      <w:r>
        <w:rPr>
          <w:rFonts w:hint="eastAsia" w:ascii="宋体" w:hAnsi="宋体" w:cs="宋体"/>
          <w:color w:val="000000"/>
          <w:sz w:val="28"/>
          <w:szCs w:val="28"/>
        </w:rPr>
        <w:t>的报价委</w:t>
      </w:r>
      <w:r>
        <w:rPr>
          <w:rFonts w:hint="eastAsia" w:ascii="宋体" w:hAnsi="宋体" w:cs="仿宋"/>
          <w:bCs/>
          <w:color w:val="000000"/>
          <w:sz w:val="28"/>
          <w:szCs w:val="28"/>
        </w:rPr>
        <w:t>托代理</w:t>
      </w:r>
      <w:r>
        <w:rPr>
          <w:rFonts w:hint="eastAsia" w:ascii="宋体" w:hAnsi="宋体" w:cs="宋体"/>
          <w:color w:val="000000"/>
          <w:sz w:val="28"/>
          <w:szCs w:val="28"/>
        </w:rPr>
        <w:t>人，全权代表我公司处理在该项目报价活动中的一切事宜。</w:t>
      </w:r>
    </w:p>
    <w:p w14:paraId="3663280D">
      <w:pPr>
        <w:pStyle w:val="14"/>
        <w:spacing w:line="480" w:lineRule="exact"/>
        <w:rPr>
          <w:rFonts w:hAnsi="宋体" w:cs="宋体"/>
          <w:color w:val="000000"/>
          <w:sz w:val="28"/>
          <w:szCs w:val="28"/>
        </w:rPr>
      </w:pPr>
    </w:p>
    <w:p w14:paraId="4EAC5B5A">
      <w:pPr>
        <w:pStyle w:val="14"/>
        <w:spacing w:line="480" w:lineRule="exact"/>
        <w:rPr>
          <w:rFonts w:hAnsi="宋体" w:cs="宋体"/>
          <w:color w:val="000000"/>
          <w:sz w:val="28"/>
          <w:szCs w:val="28"/>
        </w:rPr>
      </w:pPr>
      <w:r>
        <w:rPr>
          <w:rFonts w:hint="eastAsia" w:hAnsi="宋体" w:cs="宋体"/>
          <w:color w:val="000000"/>
          <w:sz w:val="28"/>
          <w:szCs w:val="28"/>
        </w:rPr>
        <w:t>授权单位（盖章）：</w:t>
      </w:r>
      <w:r>
        <w:rPr>
          <w:rFonts w:hAnsi="宋体" w:cs="宋体"/>
          <w:color w:val="000000"/>
          <w:sz w:val="28"/>
          <w:szCs w:val="28"/>
          <w:u w:val="single"/>
        </w:rPr>
        <w:t xml:space="preserve">                         </w:t>
      </w:r>
    </w:p>
    <w:p w14:paraId="3A4AB750">
      <w:pPr>
        <w:pStyle w:val="14"/>
        <w:spacing w:line="480" w:lineRule="exact"/>
        <w:rPr>
          <w:rFonts w:hAnsi="宋体" w:cs="宋体"/>
          <w:color w:val="000000"/>
          <w:sz w:val="28"/>
          <w:szCs w:val="28"/>
        </w:rPr>
      </w:pPr>
      <w:r>
        <w:rPr>
          <w:rFonts w:hint="eastAsia" w:hAnsi="宋体" w:cs="宋体"/>
          <w:color w:val="000000"/>
          <w:sz w:val="28"/>
          <w:szCs w:val="28"/>
        </w:rPr>
        <w:t>法定代表人（签字或签章）：</w:t>
      </w:r>
      <w:r>
        <w:rPr>
          <w:rFonts w:hAnsi="宋体" w:cs="宋体"/>
          <w:color w:val="000000"/>
          <w:sz w:val="28"/>
          <w:szCs w:val="28"/>
          <w:u w:val="single"/>
        </w:rPr>
        <w:t xml:space="preserve">                 </w:t>
      </w:r>
    </w:p>
    <w:p w14:paraId="1958188E">
      <w:pPr>
        <w:pStyle w:val="14"/>
        <w:spacing w:line="480" w:lineRule="exact"/>
        <w:rPr>
          <w:rFonts w:hAnsi="宋体" w:cs="宋体"/>
          <w:color w:val="000000"/>
          <w:sz w:val="28"/>
          <w:szCs w:val="28"/>
        </w:rPr>
      </w:pPr>
      <w:r>
        <w:rPr>
          <w:rFonts w:hint="eastAsia" w:hAnsi="宋体" w:cs="宋体"/>
          <w:color w:val="000000"/>
          <w:sz w:val="28"/>
          <w:szCs w:val="28"/>
        </w:rPr>
        <w:t>签发日期：</w:t>
      </w:r>
      <w:r>
        <w:rPr>
          <w:rFonts w:hAnsi="宋体" w:cs="宋体"/>
          <w:color w:val="000000"/>
          <w:sz w:val="28"/>
          <w:szCs w:val="28"/>
          <w:u w:val="single"/>
        </w:rPr>
        <w:t xml:space="preserve">      </w:t>
      </w:r>
      <w:r>
        <w:rPr>
          <w:rFonts w:hint="eastAsia" w:hAnsi="宋体" w:cs="宋体"/>
          <w:color w:val="000000"/>
          <w:sz w:val="28"/>
          <w:szCs w:val="28"/>
        </w:rPr>
        <w:t>年</w:t>
      </w:r>
      <w:r>
        <w:rPr>
          <w:rFonts w:hAnsi="宋体" w:cs="宋体"/>
          <w:color w:val="000000"/>
          <w:sz w:val="28"/>
          <w:szCs w:val="28"/>
          <w:u w:val="single"/>
        </w:rPr>
        <w:t xml:space="preserve">    </w:t>
      </w:r>
      <w:r>
        <w:rPr>
          <w:rFonts w:hint="eastAsia" w:hAnsi="宋体" w:cs="宋体"/>
          <w:color w:val="000000"/>
          <w:sz w:val="28"/>
          <w:szCs w:val="28"/>
        </w:rPr>
        <w:t>月</w:t>
      </w:r>
      <w:r>
        <w:rPr>
          <w:rFonts w:hAnsi="宋体" w:cs="宋体"/>
          <w:color w:val="000000"/>
          <w:sz w:val="28"/>
          <w:szCs w:val="28"/>
          <w:u w:val="single"/>
        </w:rPr>
        <w:t xml:space="preserve">    </w:t>
      </w:r>
      <w:r>
        <w:rPr>
          <w:rFonts w:hint="eastAsia" w:hAnsi="宋体" w:cs="宋体"/>
          <w:color w:val="000000"/>
          <w:sz w:val="28"/>
          <w:szCs w:val="28"/>
        </w:rPr>
        <w:t>日</w:t>
      </w:r>
    </w:p>
    <w:p w14:paraId="17780A12">
      <w:pPr>
        <w:pStyle w:val="14"/>
        <w:spacing w:line="480" w:lineRule="exact"/>
        <w:rPr>
          <w:rFonts w:hAnsi="宋体" w:cs="宋体"/>
          <w:color w:val="000000"/>
          <w:sz w:val="28"/>
          <w:szCs w:val="28"/>
        </w:rPr>
      </w:pPr>
    </w:p>
    <w:p w14:paraId="34EB8819">
      <w:pPr>
        <w:pStyle w:val="14"/>
        <w:spacing w:line="480" w:lineRule="exact"/>
        <w:rPr>
          <w:rFonts w:hAnsi="宋体" w:cs="宋体"/>
          <w:color w:val="000000"/>
          <w:sz w:val="28"/>
          <w:szCs w:val="28"/>
        </w:rPr>
      </w:pPr>
      <w:r>
        <w:rPr>
          <w:rFonts w:hint="eastAsia" w:hAnsi="宋体" w:cs="宋体"/>
          <w:color w:val="000000"/>
          <w:sz w:val="28"/>
          <w:szCs w:val="28"/>
        </w:rPr>
        <w:t>附：被授权人工作单位：</w:t>
      </w:r>
      <w:r>
        <w:rPr>
          <w:rFonts w:hAnsi="宋体" w:cs="宋体"/>
          <w:color w:val="000000"/>
          <w:sz w:val="28"/>
          <w:szCs w:val="28"/>
          <w:u w:val="single"/>
        </w:rPr>
        <w:t xml:space="preserve">                    </w:t>
      </w:r>
    </w:p>
    <w:p w14:paraId="51BEA091">
      <w:pPr>
        <w:pStyle w:val="14"/>
        <w:spacing w:line="480" w:lineRule="exact"/>
        <w:ind w:firstLine="560" w:firstLineChars="200"/>
        <w:rPr>
          <w:rFonts w:hAnsi="宋体" w:cs="宋体"/>
          <w:color w:val="000000"/>
          <w:sz w:val="28"/>
          <w:szCs w:val="28"/>
        </w:rPr>
      </w:pPr>
      <w:r>
        <w:rPr>
          <w:rFonts w:hint="eastAsia" w:hAnsi="宋体" w:cs="宋体"/>
          <w:color w:val="000000"/>
          <w:sz w:val="28"/>
          <w:szCs w:val="28"/>
        </w:rPr>
        <w:t>职务：</w:t>
      </w:r>
      <w:r>
        <w:rPr>
          <w:rFonts w:hAnsi="宋体" w:cs="宋体"/>
          <w:color w:val="000000"/>
          <w:sz w:val="28"/>
          <w:szCs w:val="28"/>
          <w:u w:val="single"/>
        </w:rPr>
        <w:t xml:space="preserve">                 </w:t>
      </w:r>
      <w:r>
        <w:rPr>
          <w:rFonts w:hAnsi="宋体" w:cs="宋体"/>
          <w:color w:val="000000"/>
          <w:sz w:val="28"/>
          <w:szCs w:val="28"/>
        </w:rPr>
        <w:t xml:space="preserve">         性别：</w:t>
      </w:r>
      <w:r>
        <w:rPr>
          <w:rFonts w:hAnsi="宋体" w:cs="宋体"/>
          <w:color w:val="000000"/>
          <w:sz w:val="28"/>
          <w:szCs w:val="28"/>
          <w:u w:val="single"/>
        </w:rPr>
        <w:t xml:space="preserve">    </w:t>
      </w:r>
    </w:p>
    <w:p w14:paraId="7CA77FBC">
      <w:pPr>
        <w:pStyle w:val="14"/>
        <w:spacing w:line="480" w:lineRule="exact"/>
        <w:ind w:firstLine="560" w:firstLineChars="200"/>
        <w:rPr>
          <w:rFonts w:hAnsi="宋体" w:cs="宋体"/>
          <w:color w:val="000000"/>
          <w:sz w:val="28"/>
          <w:szCs w:val="28"/>
          <w:u w:val="single"/>
        </w:rPr>
      </w:pPr>
      <w:r>
        <w:rPr>
          <w:rFonts w:hint="eastAsia" w:hAnsi="宋体" w:cs="宋体"/>
          <w:color w:val="000000"/>
          <w:sz w:val="28"/>
          <w:szCs w:val="28"/>
        </w:rPr>
        <w:t>身份证号码：</w:t>
      </w:r>
      <w:r>
        <w:rPr>
          <w:rFonts w:hAnsi="宋体" w:cs="宋体"/>
          <w:color w:val="000000"/>
          <w:sz w:val="28"/>
          <w:szCs w:val="28"/>
          <w:u w:val="single"/>
        </w:rPr>
        <w:t xml:space="preserve">                              </w:t>
      </w:r>
    </w:p>
    <w:p w14:paraId="2F4F4E5C">
      <w:pPr>
        <w:pStyle w:val="14"/>
        <w:spacing w:line="500" w:lineRule="exact"/>
        <w:rPr>
          <w:rFonts w:hAnsi="宋体" w:cs="宋体"/>
          <w:color w:val="000000"/>
          <w:sz w:val="28"/>
          <w:szCs w:val="28"/>
          <w:u w:val="single"/>
        </w:rPr>
      </w:pPr>
    </w:p>
    <w:tbl>
      <w:tblPr>
        <w:tblStyle w:val="18"/>
        <w:tblW w:w="0" w:type="auto"/>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3"/>
      </w:tblGrid>
      <w:tr w14:paraId="31A1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5" w:hRule="exact"/>
        </w:trPr>
        <w:tc>
          <w:tcPr>
            <w:tcW w:w="7943" w:type="dxa"/>
            <w:noWrap w:val="0"/>
            <w:vAlign w:val="top"/>
          </w:tcPr>
          <w:p w14:paraId="5F32F2A9">
            <w:pPr>
              <w:spacing w:line="500" w:lineRule="exact"/>
              <w:rPr>
                <w:rFonts w:ascii="宋体" w:hAnsi="宋体" w:cs="宋体"/>
                <w:sz w:val="28"/>
                <w:szCs w:val="28"/>
              </w:rPr>
            </w:pPr>
            <w:r>
              <w:rPr>
                <w:rFonts w:hint="eastAsia" w:ascii="宋体" w:hAnsi="宋体" w:cs="宋体"/>
                <w:sz w:val="28"/>
                <w:szCs w:val="28"/>
              </w:rPr>
              <w:t>粘贴被授权人身份证（正反面复印件）</w:t>
            </w:r>
          </w:p>
          <w:p w14:paraId="2084332A">
            <w:pPr>
              <w:spacing w:line="500" w:lineRule="exact"/>
              <w:rPr>
                <w:rFonts w:ascii="宋体" w:hAnsi="宋体" w:cs="宋体"/>
                <w:sz w:val="28"/>
                <w:szCs w:val="28"/>
              </w:rPr>
            </w:pPr>
          </w:p>
          <w:p w14:paraId="51329BFF">
            <w:pPr>
              <w:spacing w:line="500" w:lineRule="exact"/>
              <w:rPr>
                <w:rFonts w:ascii="宋体" w:hAnsi="宋体" w:cs="宋体"/>
                <w:sz w:val="28"/>
                <w:szCs w:val="28"/>
              </w:rPr>
            </w:pPr>
          </w:p>
          <w:p w14:paraId="554BDE74">
            <w:pPr>
              <w:spacing w:line="500" w:lineRule="exact"/>
              <w:rPr>
                <w:rFonts w:ascii="宋体" w:hAnsi="宋体" w:cs="宋体"/>
                <w:sz w:val="28"/>
                <w:szCs w:val="28"/>
              </w:rPr>
            </w:pPr>
          </w:p>
        </w:tc>
      </w:tr>
      <w:tr w14:paraId="0F98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7943" w:type="dxa"/>
            <w:noWrap w:val="0"/>
            <w:vAlign w:val="top"/>
          </w:tcPr>
          <w:p w14:paraId="4F99D58C">
            <w:pPr>
              <w:rPr>
                <w:rFonts w:ascii="宋体" w:hAnsi="宋体" w:cs="宋体"/>
                <w:sz w:val="28"/>
                <w:szCs w:val="28"/>
              </w:rPr>
            </w:pPr>
            <w:r>
              <w:rPr>
                <w:rFonts w:hint="eastAsia" w:ascii="宋体" w:hAnsi="宋体" w:cs="宋体"/>
                <w:sz w:val="28"/>
                <w:szCs w:val="28"/>
              </w:rPr>
              <w:t>粘贴法定代表人身份证（正反面复印件）</w:t>
            </w:r>
          </w:p>
          <w:p w14:paraId="78EA495B">
            <w:pPr>
              <w:rPr>
                <w:rFonts w:ascii="宋体" w:hAnsi="宋体" w:cs="宋体"/>
                <w:sz w:val="28"/>
                <w:szCs w:val="28"/>
              </w:rPr>
            </w:pPr>
          </w:p>
          <w:p w14:paraId="47E8F691">
            <w:pPr>
              <w:rPr>
                <w:rFonts w:ascii="宋体" w:hAnsi="宋体" w:cs="宋体"/>
                <w:sz w:val="28"/>
                <w:szCs w:val="28"/>
              </w:rPr>
            </w:pPr>
          </w:p>
          <w:p w14:paraId="7B019887">
            <w:pPr>
              <w:rPr>
                <w:rFonts w:ascii="宋体" w:hAnsi="宋体" w:cs="宋体"/>
                <w:sz w:val="28"/>
                <w:szCs w:val="28"/>
              </w:rPr>
            </w:pPr>
          </w:p>
          <w:p w14:paraId="233DF254">
            <w:pPr>
              <w:rPr>
                <w:rFonts w:ascii="宋体" w:hAnsi="宋体" w:cs="宋体"/>
                <w:sz w:val="28"/>
                <w:szCs w:val="28"/>
              </w:rPr>
            </w:pPr>
          </w:p>
        </w:tc>
      </w:tr>
    </w:tbl>
    <w:p w14:paraId="012C93EF">
      <w:pPr>
        <w:widowControl/>
        <w:jc w:val="left"/>
        <w:rPr>
          <w:rFonts w:ascii="宋体" w:hAnsi="宋体" w:cs="宋体"/>
          <w:b/>
          <w:bCs/>
          <w:color w:val="000000"/>
          <w:sz w:val="28"/>
          <w:szCs w:val="28"/>
        </w:rPr>
      </w:pPr>
    </w:p>
    <w:p w14:paraId="76376AD0">
      <w:pPr>
        <w:widowControl/>
        <w:jc w:val="left"/>
        <w:rPr>
          <w:rFonts w:hint="eastAsia" w:ascii="黑体" w:hAnsi="黑体" w:eastAsia="黑体" w:cs="宋体"/>
          <w:b/>
          <w:bCs/>
          <w:color w:val="000000"/>
          <w:sz w:val="32"/>
          <w:szCs w:val="32"/>
        </w:rPr>
      </w:pPr>
      <w:r>
        <w:rPr>
          <w:rFonts w:hint="eastAsia" w:ascii="黑体" w:hAnsi="黑体" w:eastAsia="黑体" w:cs="宋体"/>
          <w:b/>
          <w:bCs/>
          <w:color w:val="000000"/>
          <w:sz w:val="32"/>
          <w:szCs w:val="32"/>
        </w:rPr>
        <w:t>附件3</w:t>
      </w:r>
    </w:p>
    <w:p w14:paraId="6623D86F">
      <w:pPr>
        <w:widowControl/>
        <w:jc w:val="center"/>
        <w:rPr>
          <w:rFonts w:ascii="宋体" w:hAnsi="宋体" w:cs="宋体"/>
          <w:b/>
          <w:bCs/>
          <w:color w:val="000000"/>
          <w:sz w:val="32"/>
          <w:szCs w:val="32"/>
        </w:rPr>
      </w:pPr>
      <w:r>
        <w:rPr>
          <w:rFonts w:hint="eastAsia" w:ascii="宋体" w:hAnsi="宋体" w:cs="宋体"/>
          <w:b/>
          <w:bCs/>
          <w:color w:val="000000"/>
          <w:sz w:val="32"/>
          <w:szCs w:val="32"/>
        </w:rPr>
        <w:t>报价明细表</w:t>
      </w:r>
    </w:p>
    <w:tbl>
      <w:tblPr>
        <w:tblStyle w:val="18"/>
        <w:tblW w:w="4961"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80"/>
        <w:gridCol w:w="1044"/>
        <w:gridCol w:w="147"/>
        <w:gridCol w:w="1165"/>
        <w:gridCol w:w="1739"/>
        <w:gridCol w:w="865"/>
        <w:gridCol w:w="705"/>
        <w:gridCol w:w="1124"/>
        <w:gridCol w:w="1185"/>
      </w:tblGrid>
      <w:tr w14:paraId="6ED3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9"/>
            <w:noWrap w:val="0"/>
            <w:tcMar>
              <w:top w:w="13" w:type="dxa"/>
              <w:left w:w="57" w:type="dxa"/>
              <w:bottom w:w="0" w:type="dxa"/>
              <w:right w:w="57" w:type="dxa"/>
            </w:tcMar>
            <w:vAlign w:val="center"/>
          </w:tcPr>
          <w:p w14:paraId="73176031">
            <w:pPr>
              <w:rPr>
                <w:rFonts w:ascii="宋体" w:hAnsi="宋体" w:cs="仿宋_GB2312"/>
                <w:b/>
                <w:bCs/>
                <w:color w:val="000000"/>
                <w:kern w:val="0"/>
                <w:szCs w:val="21"/>
              </w:rPr>
            </w:pPr>
            <w:r>
              <w:rPr>
                <w:rFonts w:hint="eastAsia" w:ascii="宋体" w:hAnsi="宋体"/>
                <w:b/>
                <w:szCs w:val="21"/>
              </w:rPr>
              <w:t>▲</w:t>
            </w:r>
            <w:r>
              <w:rPr>
                <w:rFonts w:hint="eastAsia" w:ascii="宋体" w:hAnsi="宋体" w:cs="仿宋_GB2312"/>
                <w:b/>
                <w:bCs/>
                <w:color w:val="000000"/>
                <w:kern w:val="0"/>
                <w:szCs w:val="21"/>
              </w:rPr>
              <w:t>一、技术和服务要求</w:t>
            </w:r>
          </w:p>
        </w:tc>
      </w:tr>
      <w:tr w14:paraId="1093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7" w:type="pct"/>
            <w:noWrap w:val="0"/>
            <w:tcMar>
              <w:top w:w="13" w:type="dxa"/>
              <w:left w:w="57" w:type="dxa"/>
              <w:bottom w:w="0" w:type="dxa"/>
              <w:right w:w="57" w:type="dxa"/>
            </w:tcMar>
            <w:vAlign w:val="center"/>
          </w:tcPr>
          <w:p w14:paraId="60BEBECF">
            <w:pPr>
              <w:jc w:val="center"/>
              <w:rPr>
                <w:rFonts w:ascii="宋体" w:hAnsi="宋体"/>
                <w:b/>
                <w:bCs/>
                <w:color w:val="000000"/>
                <w:kern w:val="0"/>
                <w:szCs w:val="21"/>
              </w:rPr>
            </w:pPr>
            <w:r>
              <w:rPr>
                <w:rFonts w:hint="eastAsia" w:ascii="宋体" w:hAnsi="宋体"/>
                <w:b/>
                <w:bCs/>
                <w:color w:val="000000"/>
                <w:kern w:val="0"/>
                <w:szCs w:val="21"/>
              </w:rPr>
              <w:t>序号</w:t>
            </w:r>
          </w:p>
        </w:tc>
        <w:tc>
          <w:tcPr>
            <w:tcW w:w="625" w:type="pct"/>
            <w:noWrap w:val="0"/>
            <w:tcMar>
              <w:top w:w="13" w:type="dxa"/>
              <w:left w:w="57" w:type="dxa"/>
              <w:bottom w:w="0" w:type="dxa"/>
              <w:right w:w="57" w:type="dxa"/>
            </w:tcMar>
            <w:vAlign w:val="center"/>
          </w:tcPr>
          <w:p w14:paraId="3A24F472">
            <w:pPr>
              <w:snapToGrid w:val="0"/>
              <w:jc w:val="center"/>
              <w:rPr>
                <w:rFonts w:ascii="宋体" w:hAnsi="宋体"/>
                <w:b/>
                <w:bCs/>
                <w:color w:val="000000"/>
                <w:szCs w:val="21"/>
              </w:rPr>
            </w:pPr>
            <w:r>
              <w:rPr>
                <w:rFonts w:hint="eastAsia" w:ascii="宋体" w:hAnsi="宋体"/>
                <w:b/>
                <w:bCs/>
                <w:color w:val="000000"/>
                <w:szCs w:val="21"/>
              </w:rPr>
              <w:t>服务内容</w:t>
            </w:r>
          </w:p>
        </w:tc>
        <w:tc>
          <w:tcPr>
            <w:tcW w:w="785" w:type="pct"/>
            <w:gridSpan w:val="2"/>
            <w:noWrap w:val="0"/>
            <w:tcMar>
              <w:top w:w="13" w:type="dxa"/>
              <w:left w:w="57" w:type="dxa"/>
              <w:bottom w:w="0" w:type="dxa"/>
              <w:right w:w="57" w:type="dxa"/>
            </w:tcMar>
            <w:vAlign w:val="center"/>
          </w:tcPr>
          <w:p w14:paraId="35F49079">
            <w:pPr>
              <w:snapToGrid w:val="0"/>
              <w:jc w:val="center"/>
              <w:rPr>
                <w:rFonts w:ascii="宋体" w:hAnsi="宋体"/>
                <w:b/>
                <w:bCs/>
                <w:color w:val="000000"/>
                <w:kern w:val="0"/>
                <w:szCs w:val="21"/>
              </w:rPr>
            </w:pPr>
            <w:r>
              <w:rPr>
                <w:rFonts w:hint="eastAsia" w:ascii="宋体" w:hAnsi="宋体"/>
                <w:b/>
                <w:bCs/>
                <w:color w:val="000000"/>
                <w:szCs w:val="21"/>
              </w:rPr>
              <w:t>品牌型号、生产厂家</w:t>
            </w:r>
          </w:p>
        </w:tc>
        <w:tc>
          <w:tcPr>
            <w:tcW w:w="1041" w:type="pct"/>
            <w:noWrap w:val="0"/>
            <w:tcMar>
              <w:top w:w="13" w:type="dxa"/>
              <w:left w:w="57" w:type="dxa"/>
              <w:bottom w:w="0" w:type="dxa"/>
              <w:right w:w="57" w:type="dxa"/>
            </w:tcMar>
            <w:vAlign w:val="center"/>
          </w:tcPr>
          <w:p w14:paraId="4FE83DF0">
            <w:pPr>
              <w:jc w:val="center"/>
              <w:rPr>
                <w:rFonts w:ascii="宋体" w:hAnsi="宋体"/>
                <w:b/>
                <w:bCs/>
                <w:color w:val="000000"/>
                <w:szCs w:val="21"/>
              </w:rPr>
            </w:pPr>
            <w:r>
              <w:rPr>
                <w:rFonts w:hint="eastAsia" w:ascii="宋体" w:hAnsi="宋体" w:cs="仿宋_GB2312"/>
                <w:b/>
                <w:bCs/>
                <w:color w:val="000000"/>
                <w:kern w:val="0"/>
                <w:szCs w:val="21"/>
              </w:rPr>
              <w:t>服务参数</w:t>
            </w:r>
          </w:p>
        </w:tc>
        <w:tc>
          <w:tcPr>
            <w:tcW w:w="518" w:type="pct"/>
            <w:noWrap w:val="0"/>
            <w:vAlign w:val="center"/>
          </w:tcPr>
          <w:p w14:paraId="71D472C9">
            <w:pPr>
              <w:jc w:val="center"/>
              <w:rPr>
                <w:rFonts w:ascii="宋体" w:hAnsi="宋体" w:cs="仿宋_GB2312"/>
                <w:b/>
                <w:bCs/>
                <w:color w:val="000000"/>
                <w:kern w:val="0"/>
                <w:szCs w:val="21"/>
              </w:rPr>
            </w:pPr>
            <w:r>
              <w:rPr>
                <w:rFonts w:hint="eastAsia" w:ascii="宋体" w:hAnsi="宋体" w:cs="仿宋_GB2312"/>
                <w:b/>
                <w:bCs/>
                <w:color w:val="000000"/>
                <w:kern w:val="0"/>
                <w:szCs w:val="21"/>
              </w:rPr>
              <w:t>计量</w:t>
            </w:r>
          </w:p>
          <w:p w14:paraId="6E019ECE">
            <w:pPr>
              <w:jc w:val="center"/>
              <w:rPr>
                <w:rFonts w:ascii="宋体" w:hAnsi="宋体"/>
                <w:b/>
                <w:bCs/>
                <w:color w:val="000000"/>
                <w:szCs w:val="21"/>
              </w:rPr>
            </w:pPr>
            <w:r>
              <w:rPr>
                <w:rFonts w:hint="eastAsia" w:ascii="宋体" w:hAnsi="宋体" w:cs="仿宋_GB2312"/>
                <w:b/>
                <w:bCs/>
                <w:color w:val="000000"/>
                <w:kern w:val="0"/>
                <w:szCs w:val="21"/>
              </w:rPr>
              <w:t>单位</w:t>
            </w:r>
          </w:p>
        </w:tc>
        <w:tc>
          <w:tcPr>
            <w:tcW w:w="422" w:type="pct"/>
            <w:noWrap w:val="0"/>
            <w:vAlign w:val="center"/>
          </w:tcPr>
          <w:p w14:paraId="1EBCFCBE">
            <w:pPr>
              <w:jc w:val="center"/>
              <w:rPr>
                <w:rFonts w:ascii="宋体" w:hAnsi="宋体"/>
                <w:b/>
                <w:bCs/>
                <w:color w:val="000000"/>
                <w:szCs w:val="21"/>
              </w:rPr>
            </w:pPr>
            <w:r>
              <w:rPr>
                <w:rFonts w:hint="eastAsia" w:ascii="宋体" w:hAnsi="宋体" w:cs="仿宋_GB2312"/>
                <w:b/>
                <w:bCs/>
                <w:color w:val="000000"/>
                <w:kern w:val="0"/>
                <w:szCs w:val="21"/>
              </w:rPr>
              <w:t>数量</w:t>
            </w:r>
          </w:p>
        </w:tc>
        <w:tc>
          <w:tcPr>
            <w:tcW w:w="673" w:type="pct"/>
            <w:noWrap w:val="0"/>
            <w:vAlign w:val="center"/>
          </w:tcPr>
          <w:p w14:paraId="5B03A062">
            <w:pPr>
              <w:jc w:val="center"/>
              <w:rPr>
                <w:rFonts w:ascii="宋体" w:hAnsi="宋体" w:cs="仿宋_GB2312"/>
                <w:b/>
                <w:bCs/>
                <w:color w:val="000000"/>
                <w:kern w:val="0"/>
                <w:szCs w:val="21"/>
              </w:rPr>
            </w:pPr>
            <w:r>
              <w:rPr>
                <w:rFonts w:hint="eastAsia" w:ascii="宋体" w:hAnsi="宋体" w:cs="仿宋_GB2312"/>
                <w:b/>
                <w:bCs/>
                <w:color w:val="000000"/>
                <w:kern w:val="0"/>
                <w:szCs w:val="21"/>
              </w:rPr>
              <w:t>单价</w:t>
            </w:r>
          </w:p>
          <w:p w14:paraId="056EE11B">
            <w:pPr>
              <w:jc w:val="center"/>
              <w:rPr>
                <w:rFonts w:ascii="宋体" w:hAnsi="宋体" w:cs="仿宋_GB2312"/>
                <w:b/>
                <w:bCs/>
                <w:color w:val="000000"/>
                <w:kern w:val="0"/>
                <w:szCs w:val="21"/>
              </w:rPr>
            </w:pPr>
            <w:r>
              <w:rPr>
                <w:rFonts w:hint="eastAsia" w:ascii="宋体" w:hAnsi="宋体" w:cs="仿宋_GB2312"/>
                <w:b/>
                <w:bCs/>
                <w:color w:val="000000"/>
                <w:kern w:val="0"/>
                <w:szCs w:val="21"/>
              </w:rPr>
              <w:t>（元）</w:t>
            </w:r>
          </w:p>
        </w:tc>
        <w:tc>
          <w:tcPr>
            <w:tcW w:w="709" w:type="pct"/>
            <w:noWrap w:val="0"/>
            <w:vAlign w:val="center"/>
          </w:tcPr>
          <w:p w14:paraId="36E9ACB7">
            <w:pPr>
              <w:jc w:val="center"/>
              <w:rPr>
                <w:rFonts w:ascii="宋体" w:hAnsi="宋体" w:cs="仿宋_GB2312"/>
                <w:b/>
                <w:bCs/>
                <w:color w:val="000000"/>
                <w:kern w:val="0"/>
                <w:szCs w:val="21"/>
              </w:rPr>
            </w:pPr>
            <w:r>
              <w:rPr>
                <w:rFonts w:hint="eastAsia" w:ascii="宋体" w:hAnsi="宋体" w:cs="仿宋_GB2312"/>
                <w:b/>
                <w:bCs/>
                <w:color w:val="000000"/>
                <w:kern w:val="0"/>
                <w:szCs w:val="21"/>
              </w:rPr>
              <w:t>小计</w:t>
            </w:r>
          </w:p>
          <w:p w14:paraId="1AF75810">
            <w:pPr>
              <w:jc w:val="center"/>
              <w:rPr>
                <w:rFonts w:ascii="宋体" w:hAnsi="宋体" w:cs="仿宋_GB2312"/>
                <w:b/>
                <w:bCs/>
                <w:color w:val="000000"/>
                <w:kern w:val="0"/>
                <w:szCs w:val="21"/>
              </w:rPr>
            </w:pPr>
            <w:r>
              <w:rPr>
                <w:rFonts w:hint="eastAsia" w:ascii="宋体" w:hAnsi="宋体" w:cs="仿宋_GB2312"/>
                <w:b/>
                <w:bCs/>
                <w:color w:val="000000"/>
                <w:kern w:val="0"/>
                <w:szCs w:val="21"/>
              </w:rPr>
              <w:t>（元）</w:t>
            </w:r>
          </w:p>
        </w:tc>
      </w:tr>
      <w:tr w14:paraId="7716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7" w:type="pct"/>
            <w:noWrap w:val="0"/>
            <w:tcMar>
              <w:top w:w="13" w:type="dxa"/>
              <w:left w:w="57" w:type="dxa"/>
              <w:bottom w:w="0" w:type="dxa"/>
              <w:right w:w="57" w:type="dxa"/>
            </w:tcMar>
            <w:vAlign w:val="center"/>
          </w:tcPr>
          <w:p w14:paraId="0ACF3AA1">
            <w:pPr>
              <w:pStyle w:val="20"/>
              <w:widowControl/>
              <w:numPr>
                <w:ilvl w:val="0"/>
                <w:numId w:val="42"/>
              </w:numPr>
              <w:ind w:firstLineChars="0"/>
              <w:jc w:val="left"/>
              <w:textAlignment w:val="center"/>
              <w:rPr>
                <w:rFonts w:ascii="宋体" w:hAnsi="宋体" w:cs="宋体"/>
                <w:color w:val="000000"/>
                <w:kern w:val="0"/>
                <w:lang w:bidi="zh-CN"/>
              </w:rPr>
            </w:pPr>
          </w:p>
        </w:tc>
        <w:tc>
          <w:tcPr>
            <w:tcW w:w="625" w:type="pct"/>
            <w:noWrap w:val="0"/>
            <w:tcMar>
              <w:top w:w="13" w:type="dxa"/>
              <w:left w:w="57" w:type="dxa"/>
              <w:bottom w:w="0" w:type="dxa"/>
              <w:right w:w="57" w:type="dxa"/>
            </w:tcMar>
            <w:vAlign w:val="center"/>
          </w:tcPr>
          <w:p w14:paraId="6F922D66">
            <w:pPr>
              <w:widowControl/>
              <w:jc w:val="center"/>
              <w:textAlignment w:val="center"/>
              <w:rPr>
                <w:rFonts w:ascii="宋体" w:hAnsi="宋体" w:cs="宋体"/>
                <w:color w:val="000000"/>
                <w:kern w:val="0"/>
                <w:szCs w:val="21"/>
                <w:lang w:bidi="zh-CN"/>
              </w:rPr>
            </w:pPr>
          </w:p>
        </w:tc>
        <w:tc>
          <w:tcPr>
            <w:tcW w:w="785" w:type="pct"/>
            <w:gridSpan w:val="2"/>
            <w:noWrap w:val="0"/>
            <w:tcMar>
              <w:top w:w="13" w:type="dxa"/>
              <w:left w:w="57" w:type="dxa"/>
              <w:bottom w:w="0" w:type="dxa"/>
              <w:right w:w="57" w:type="dxa"/>
            </w:tcMar>
            <w:vAlign w:val="center"/>
          </w:tcPr>
          <w:p w14:paraId="367BD3B7">
            <w:pPr>
              <w:widowControl/>
              <w:jc w:val="center"/>
              <w:textAlignment w:val="center"/>
              <w:rPr>
                <w:rFonts w:ascii="宋体" w:hAnsi="宋体" w:cs="宋体"/>
                <w:color w:val="000000"/>
                <w:kern w:val="0"/>
                <w:szCs w:val="21"/>
                <w:lang w:bidi="zh-CN"/>
              </w:rPr>
            </w:pPr>
          </w:p>
        </w:tc>
        <w:tc>
          <w:tcPr>
            <w:tcW w:w="1041" w:type="pct"/>
            <w:noWrap w:val="0"/>
            <w:tcMar>
              <w:top w:w="13" w:type="dxa"/>
              <w:left w:w="57" w:type="dxa"/>
              <w:bottom w:w="0" w:type="dxa"/>
              <w:right w:w="57" w:type="dxa"/>
            </w:tcMar>
            <w:vAlign w:val="center"/>
          </w:tcPr>
          <w:p w14:paraId="69D6FC34">
            <w:pPr>
              <w:widowControl/>
              <w:textAlignment w:val="center"/>
              <w:rPr>
                <w:rFonts w:ascii="宋体" w:hAnsi="宋体" w:cs="宋体"/>
                <w:color w:val="000000"/>
                <w:kern w:val="0"/>
                <w:szCs w:val="21"/>
                <w:lang w:bidi="zh-CN"/>
              </w:rPr>
            </w:pPr>
          </w:p>
        </w:tc>
        <w:tc>
          <w:tcPr>
            <w:tcW w:w="518" w:type="pct"/>
            <w:noWrap w:val="0"/>
            <w:vAlign w:val="center"/>
          </w:tcPr>
          <w:p w14:paraId="4AD78D97">
            <w:pPr>
              <w:widowControl/>
              <w:jc w:val="center"/>
              <w:textAlignment w:val="center"/>
              <w:rPr>
                <w:rFonts w:ascii="宋体" w:hAnsi="宋体" w:cs="宋体"/>
                <w:color w:val="000000"/>
                <w:kern w:val="0"/>
                <w:szCs w:val="21"/>
                <w:lang w:bidi="zh-CN"/>
              </w:rPr>
            </w:pPr>
          </w:p>
        </w:tc>
        <w:tc>
          <w:tcPr>
            <w:tcW w:w="422" w:type="pct"/>
            <w:noWrap w:val="0"/>
            <w:vAlign w:val="center"/>
          </w:tcPr>
          <w:p w14:paraId="1BD101EF">
            <w:pPr>
              <w:widowControl/>
              <w:jc w:val="center"/>
              <w:textAlignment w:val="center"/>
              <w:rPr>
                <w:rFonts w:ascii="宋体" w:hAnsi="宋体" w:cs="宋体"/>
                <w:color w:val="000000"/>
                <w:kern w:val="0"/>
                <w:szCs w:val="21"/>
                <w:lang w:bidi="zh-CN"/>
              </w:rPr>
            </w:pPr>
          </w:p>
        </w:tc>
        <w:tc>
          <w:tcPr>
            <w:tcW w:w="673" w:type="pct"/>
            <w:noWrap w:val="0"/>
            <w:vAlign w:val="center"/>
          </w:tcPr>
          <w:p w14:paraId="09376AE5">
            <w:pPr>
              <w:widowControl/>
              <w:jc w:val="center"/>
              <w:textAlignment w:val="center"/>
              <w:rPr>
                <w:rFonts w:ascii="宋体" w:hAnsi="宋体" w:cs="宋体"/>
                <w:color w:val="000000"/>
                <w:kern w:val="0"/>
                <w:szCs w:val="21"/>
                <w:lang w:bidi="zh-CN"/>
              </w:rPr>
            </w:pPr>
          </w:p>
        </w:tc>
        <w:tc>
          <w:tcPr>
            <w:tcW w:w="709" w:type="pct"/>
            <w:noWrap w:val="0"/>
            <w:vAlign w:val="center"/>
          </w:tcPr>
          <w:p w14:paraId="5BE6B0BB">
            <w:pPr>
              <w:widowControl/>
              <w:jc w:val="center"/>
              <w:textAlignment w:val="center"/>
              <w:rPr>
                <w:rFonts w:ascii="宋体" w:hAnsi="宋体" w:cs="宋体"/>
                <w:color w:val="000000"/>
                <w:kern w:val="0"/>
                <w:szCs w:val="21"/>
                <w:lang w:bidi="zh-CN"/>
              </w:rPr>
            </w:pPr>
          </w:p>
        </w:tc>
      </w:tr>
      <w:tr w14:paraId="5C5F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7" w:type="pct"/>
            <w:noWrap w:val="0"/>
            <w:tcMar>
              <w:top w:w="13" w:type="dxa"/>
              <w:left w:w="57" w:type="dxa"/>
              <w:bottom w:w="0" w:type="dxa"/>
              <w:right w:w="57" w:type="dxa"/>
            </w:tcMar>
            <w:vAlign w:val="center"/>
          </w:tcPr>
          <w:p w14:paraId="716B0503">
            <w:pPr>
              <w:pStyle w:val="20"/>
              <w:widowControl/>
              <w:numPr>
                <w:ilvl w:val="0"/>
                <w:numId w:val="42"/>
              </w:numPr>
              <w:ind w:firstLineChars="0"/>
              <w:jc w:val="left"/>
              <w:textAlignment w:val="center"/>
              <w:rPr>
                <w:rFonts w:ascii="宋体" w:hAnsi="宋体" w:cs="宋体"/>
                <w:color w:val="000000"/>
                <w:kern w:val="0"/>
                <w:lang w:bidi="zh-CN"/>
              </w:rPr>
            </w:pPr>
          </w:p>
        </w:tc>
        <w:tc>
          <w:tcPr>
            <w:tcW w:w="625" w:type="pct"/>
            <w:noWrap w:val="0"/>
            <w:tcMar>
              <w:top w:w="13" w:type="dxa"/>
              <w:left w:w="57" w:type="dxa"/>
              <w:bottom w:w="0" w:type="dxa"/>
              <w:right w:w="57" w:type="dxa"/>
            </w:tcMar>
            <w:vAlign w:val="center"/>
          </w:tcPr>
          <w:p w14:paraId="6E26DEA8">
            <w:pPr>
              <w:widowControl/>
              <w:jc w:val="center"/>
              <w:textAlignment w:val="center"/>
              <w:rPr>
                <w:rFonts w:ascii="宋体" w:hAnsi="宋体" w:cs="宋体"/>
                <w:color w:val="000000"/>
                <w:kern w:val="0"/>
                <w:szCs w:val="21"/>
                <w:lang w:bidi="zh-CN"/>
              </w:rPr>
            </w:pPr>
          </w:p>
        </w:tc>
        <w:tc>
          <w:tcPr>
            <w:tcW w:w="785" w:type="pct"/>
            <w:gridSpan w:val="2"/>
            <w:noWrap w:val="0"/>
            <w:tcMar>
              <w:top w:w="13" w:type="dxa"/>
              <w:left w:w="57" w:type="dxa"/>
              <w:bottom w:w="0" w:type="dxa"/>
              <w:right w:w="57" w:type="dxa"/>
            </w:tcMar>
            <w:vAlign w:val="center"/>
          </w:tcPr>
          <w:p w14:paraId="2F58A878">
            <w:pPr>
              <w:widowControl/>
              <w:jc w:val="center"/>
              <w:textAlignment w:val="center"/>
              <w:rPr>
                <w:rFonts w:ascii="宋体" w:hAnsi="宋体" w:cs="宋体"/>
                <w:color w:val="000000"/>
                <w:kern w:val="0"/>
                <w:szCs w:val="21"/>
                <w:lang w:bidi="zh-CN"/>
              </w:rPr>
            </w:pPr>
          </w:p>
        </w:tc>
        <w:tc>
          <w:tcPr>
            <w:tcW w:w="1041" w:type="pct"/>
            <w:noWrap w:val="0"/>
            <w:tcMar>
              <w:top w:w="13" w:type="dxa"/>
              <w:left w:w="57" w:type="dxa"/>
              <w:bottom w:w="0" w:type="dxa"/>
              <w:right w:w="57" w:type="dxa"/>
            </w:tcMar>
            <w:vAlign w:val="center"/>
          </w:tcPr>
          <w:p w14:paraId="6A191FBE">
            <w:pPr>
              <w:widowControl/>
              <w:textAlignment w:val="center"/>
              <w:rPr>
                <w:rFonts w:ascii="宋体" w:hAnsi="宋体" w:cs="宋体"/>
                <w:color w:val="000000"/>
                <w:kern w:val="0"/>
                <w:szCs w:val="21"/>
                <w:lang w:bidi="zh-CN"/>
              </w:rPr>
            </w:pPr>
          </w:p>
        </w:tc>
        <w:tc>
          <w:tcPr>
            <w:tcW w:w="518" w:type="pct"/>
            <w:noWrap w:val="0"/>
            <w:vAlign w:val="center"/>
          </w:tcPr>
          <w:p w14:paraId="7FD25848">
            <w:pPr>
              <w:widowControl/>
              <w:jc w:val="center"/>
              <w:textAlignment w:val="center"/>
              <w:rPr>
                <w:rFonts w:ascii="宋体" w:hAnsi="宋体" w:cs="宋体"/>
                <w:color w:val="000000"/>
                <w:kern w:val="0"/>
                <w:szCs w:val="21"/>
                <w:lang w:bidi="zh-CN"/>
              </w:rPr>
            </w:pPr>
          </w:p>
        </w:tc>
        <w:tc>
          <w:tcPr>
            <w:tcW w:w="422" w:type="pct"/>
            <w:noWrap w:val="0"/>
            <w:vAlign w:val="center"/>
          </w:tcPr>
          <w:p w14:paraId="68B9A710">
            <w:pPr>
              <w:widowControl/>
              <w:jc w:val="center"/>
              <w:textAlignment w:val="center"/>
              <w:rPr>
                <w:rFonts w:ascii="宋体" w:hAnsi="宋体" w:cs="宋体"/>
                <w:color w:val="000000"/>
                <w:kern w:val="0"/>
                <w:szCs w:val="21"/>
                <w:lang w:bidi="zh-CN"/>
              </w:rPr>
            </w:pPr>
          </w:p>
        </w:tc>
        <w:tc>
          <w:tcPr>
            <w:tcW w:w="673" w:type="pct"/>
            <w:noWrap w:val="0"/>
            <w:vAlign w:val="center"/>
          </w:tcPr>
          <w:p w14:paraId="123ED052">
            <w:pPr>
              <w:widowControl/>
              <w:jc w:val="center"/>
              <w:textAlignment w:val="center"/>
              <w:rPr>
                <w:rFonts w:ascii="宋体" w:hAnsi="宋体" w:cs="宋体"/>
                <w:color w:val="000000"/>
                <w:kern w:val="0"/>
                <w:szCs w:val="21"/>
                <w:lang w:bidi="zh-CN"/>
              </w:rPr>
            </w:pPr>
          </w:p>
        </w:tc>
        <w:tc>
          <w:tcPr>
            <w:tcW w:w="709" w:type="pct"/>
            <w:noWrap w:val="0"/>
            <w:vAlign w:val="center"/>
          </w:tcPr>
          <w:p w14:paraId="08C21B94">
            <w:pPr>
              <w:widowControl/>
              <w:jc w:val="center"/>
              <w:textAlignment w:val="center"/>
              <w:rPr>
                <w:rFonts w:ascii="宋体" w:hAnsi="宋体" w:cs="宋体"/>
                <w:color w:val="000000"/>
                <w:kern w:val="0"/>
                <w:szCs w:val="21"/>
                <w:lang w:bidi="zh-CN"/>
              </w:rPr>
            </w:pPr>
          </w:p>
        </w:tc>
      </w:tr>
      <w:tr w14:paraId="7D3D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96" w:type="pct"/>
            <w:gridSpan w:val="6"/>
            <w:noWrap w:val="0"/>
            <w:tcMar>
              <w:top w:w="13" w:type="dxa"/>
              <w:left w:w="57" w:type="dxa"/>
              <w:bottom w:w="0" w:type="dxa"/>
              <w:right w:w="57" w:type="dxa"/>
            </w:tcMar>
            <w:vAlign w:val="center"/>
          </w:tcPr>
          <w:p w14:paraId="0CD8841A">
            <w:pPr>
              <w:widowControl/>
              <w:jc w:val="center"/>
              <w:textAlignment w:val="center"/>
              <w:rPr>
                <w:rFonts w:ascii="宋体" w:hAnsi="宋体" w:cs="宋体"/>
                <w:b/>
                <w:color w:val="000000"/>
                <w:kern w:val="0"/>
                <w:szCs w:val="21"/>
                <w:lang w:bidi="zh-CN"/>
              </w:rPr>
            </w:pPr>
            <w:r>
              <w:rPr>
                <w:rFonts w:hint="eastAsia" w:ascii="宋体" w:hAnsi="宋体" w:cs="宋体"/>
                <w:b/>
                <w:color w:val="000000"/>
                <w:kern w:val="0"/>
                <w:szCs w:val="21"/>
                <w:lang w:bidi="zh-CN"/>
              </w:rPr>
              <w:t>合计金额：（大写</w:t>
            </w:r>
            <w:r>
              <w:rPr>
                <w:rFonts w:ascii="宋体" w:hAnsi="宋体" w:cs="宋体"/>
                <w:b/>
                <w:color w:val="000000"/>
                <w:kern w:val="0"/>
                <w:szCs w:val="21"/>
                <w:lang w:bidi="zh-CN"/>
              </w:rPr>
              <w:t>）</w:t>
            </w:r>
            <w:r>
              <w:rPr>
                <w:rFonts w:hint="eastAsia" w:ascii="宋体" w:hAnsi="宋体" w:cs="宋体"/>
                <w:b/>
                <w:color w:val="000000"/>
                <w:kern w:val="0"/>
                <w:szCs w:val="21"/>
                <w:lang w:bidi="zh-CN"/>
              </w:rPr>
              <w:t>人民币</w:t>
            </w:r>
            <w:r>
              <w:rPr>
                <w:rFonts w:ascii="宋体" w:hAnsi="宋体" w:cs="宋体"/>
                <w:b/>
                <w:color w:val="000000"/>
                <w:kern w:val="0"/>
                <w:szCs w:val="21"/>
                <w:u w:val="single"/>
                <w:lang w:bidi="zh-CN"/>
              </w:rPr>
              <w:t xml:space="preserve">        </w:t>
            </w:r>
            <w:r>
              <w:rPr>
                <w:rFonts w:hint="eastAsia" w:ascii="宋体" w:hAnsi="宋体" w:cs="宋体"/>
                <w:b/>
                <w:color w:val="000000"/>
                <w:kern w:val="0"/>
                <w:szCs w:val="21"/>
                <w:lang w:bidi="zh-CN"/>
              </w:rPr>
              <w:t>元整</w:t>
            </w:r>
          </w:p>
        </w:tc>
        <w:tc>
          <w:tcPr>
            <w:tcW w:w="1804" w:type="pct"/>
            <w:gridSpan w:val="3"/>
            <w:noWrap w:val="0"/>
            <w:vAlign w:val="center"/>
          </w:tcPr>
          <w:p w14:paraId="1198B6D1">
            <w:pPr>
              <w:widowControl/>
              <w:ind w:firstLine="826" w:firstLineChars="392"/>
              <w:textAlignment w:val="center"/>
              <w:rPr>
                <w:rFonts w:ascii="宋体" w:hAnsi="宋体" w:cs="宋体"/>
                <w:b/>
                <w:color w:val="000000"/>
                <w:kern w:val="0"/>
                <w:szCs w:val="21"/>
                <w:lang w:bidi="zh-CN"/>
              </w:rPr>
            </w:pPr>
            <w:r>
              <w:rPr>
                <w:rFonts w:hint="eastAsia" w:ascii="宋体" w:hAnsi="宋体" w:cs="宋体"/>
                <w:b/>
                <w:color w:val="000000"/>
                <w:kern w:val="0"/>
                <w:szCs w:val="21"/>
                <w:lang w:bidi="zh-CN"/>
              </w:rPr>
              <w:t>（小写）¥</w:t>
            </w:r>
            <w:r>
              <w:rPr>
                <w:rFonts w:hint="eastAsia" w:ascii="宋体" w:hAnsi="宋体" w:cs="宋体"/>
                <w:b/>
                <w:color w:val="000000"/>
                <w:kern w:val="0"/>
                <w:szCs w:val="21"/>
                <w:u w:val="single"/>
                <w:lang w:bidi="zh-CN"/>
              </w:rPr>
              <w:t xml:space="preserve">      </w:t>
            </w:r>
          </w:p>
        </w:tc>
      </w:tr>
      <w:tr w14:paraId="385D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9"/>
            <w:noWrap w:val="0"/>
            <w:tcMar>
              <w:top w:w="13" w:type="dxa"/>
              <w:left w:w="57" w:type="dxa"/>
              <w:bottom w:w="0" w:type="dxa"/>
              <w:right w:w="57" w:type="dxa"/>
            </w:tcMar>
            <w:vAlign w:val="center"/>
          </w:tcPr>
          <w:p w14:paraId="29D17AC0">
            <w:pPr>
              <w:widowControl/>
              <w:jc w:val="left"/>
              <w:textAlignment w:val="center"/>
              <w:rPr>
                <w:rFonts w:ascii="宋体" w:hAnsi="宋体" w:cs="宋体"/>
                <w:b/>
                <w:color w:val="000000"/>
                <w:kern w:val="0"/>
                <w:szCs w:val="21"/>
                <w:lang w:bidi="zh-CN"/>
              </w:rPr>
            </w:pPr>
            <w:r>
              <w:rPr>
                <w:rFonts w:hint="eastAsia" w:ascii="宋体" w:hAnsi="宋体"/>
                <w:b/>
                <w:szCs w:val="21"/>
              </w:rPr>
              <w:t>▲</w:t>
            </w:r>
            <w:r>
              <w:rPr>
                <w:rFonts w:hint="eastAsia" w:ascii="宋体" w:hAnsi="宋体"/>
                <w:b/>
                <w:bCs/>
                <w:color w:val="000000"/>
                <w:szCs w:val="21"/>
              </w:rPr>
              <w:t>二、商务要求</w:t>
            </w:r>
          </w:p>
        </w:tc>
      </w:tr>
      <w:tr w14:paraId="787C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40" w:type="pct"/>
            <w:gridSpan w:val="3"/>
            <w:noWrap w:val="0"/>
            <w:tcMar>
              <w:top w:w="13" w:type="dxa"/>
              <w:left w:w="57" w:type="dxa"/>
              <w:bottom w:w="0" w:type="dxa"/>
              <w:right w:w="57" w:type="dxa"/>
            </w:tcMar>
            <w:vAlign w:val="center"/>
          </w:tcPr>
          <w:p w14:paraId="05260A8D">
            <w:pPr>
              <w:jc w:val="center"/>
              <w:rPr>
                <w:rFonts w:ascii="宋体" w:hAnsi="宋体"/>
                <w:b/>
                <w:bCs/>
                <w:color w:val="000000"/>
                <w:szCs w:val="21"/>
              </w:rPr>
            </w:pPr>
            <w:r>
              <w:rPr>
                <w:rFonts w:hint="eastAsia" w:ascii="宋体" w:hAnsi="宋体" w:cs="宋体"/>
                <w:b/>
                <w:bCs/>
                <w:szCs w:val="21"/>
              </w:rPr>
              <w:t>服务期</w:t>
            </w:r>
          </w:p>
        </w:tc>
        <w:tc>
          <w:tcPr>
            <w:tcW w:w="4060" w:type="pct"/>
            <w:gridSpan w:val="6"/>
            <w:noWrap w:val="0"/>
            <w:tcMar>
              <w:top w:w="13" w:type="dxa"/>
              <w:left w:w="57" w:type="dxa"/>
              <w:bottom w:w="0" w:type="dxa"/>
              <w:right w:w="57" w:type="dxa"/>
            </w:tcMar>
            <w:vAlign w:val="center"/>
          </w:tcPr>
          <w:p w14:paraId="793C8B03">
            <w:pPr>
              <w:rPr>
                <w:rFonts w:ascii="宋体" w:hAnsi="宋体"/>
                <w:color w:val="000000"/>
                <w:sz w:val="24"/>
                <w:szCs w:val="24"/>
              </w:rPr>
            </w:pPr>
          </w:p>
        </w:tc>
      </w:tr>
      <w:tr w14:paraId="7917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40" w:type="pct"/>
            <w:gridSpan w:val="3"/>
            <w:noWrap w:val="0"/>
            <w:tcMar>
              <w:top w:w="13" w:type="dxa"/>
              <w:left w:w="57" w:type="dxa"/>
              <w:bottom w:w="0" w:type="dxa"/>
              <w:right w:w="57" w:type="dxa"/>
            </w:tcMar>
            <w:vAlign w:val="center"/>
          </w:tcPr>
          <w:p w14:paraId="38BF8749">
            <w:pPr>
              <w:jc w:val="center"/>
              <w:rPr>
                <w:rFonts w:ascii="宋体" w:hAnsi="宋体" w:cs="宋体"/>
                <w:b/>
                <w:bCs/>
                <w:szCs w:val="21"/>
              </w:rPr>
            </w:pPr>
            <w:r>
              <w:rPr>
                <w:rFonts w:hint="eastAsia" w:ascii="宋体" w:hAnsi="宋体" w:cs="宋体"/>
                <w:b/>
                <w:bCs/>
                <w:szCs w:val="21"/>
              </w:rPr>
              <w:t>产品及服务要求</w:t>
            </w:r>
          </w:p>
        </w:tc>
        <w:tc>
          <w:tcPr>
            <w:tcW w:w="4060" w:type="pct"/>
            <w:gridSpan w:val="6"/>
            <w:noWrap w:val="0"/>
            <w:tcMar>
              <w:top w:w="13" w:type="dxa"/>
              <w:left w:w="57" w:type="dxa"/>
              <w:bottom w:w="0" w:type="dxa"/>
              <w:right w:w="57" w:type="dxa"/>
            </w:tcMar>
            <w:vAlign w:val="center"/>
          </w:tcPr>
          <w:p w14:paraId="36D43987">
            <w:pPr>
              <w:pStyle w:val="15"/>
              <w:rPr>
                <w:rFonts w:ascii="宋体" w:hAnsi="宋体" w:cs="宋体"/>
                <w:sz w:val="24"/>
                <w:szCs w:val="24"/>
              </w:rPr>
            </w:pPr>
          </w:p>
        </w:tc>
      </w:tr>
      <w:tr w14:paraId="34AD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40" w:type="pct"/>
            <w:gridSpan w:val="3"/>
            <w:noWrap w:val="0"/>
            <w:tcMar>
              <w:top w:w="13" w:type="dxa"/>
              <w:left w:w="57" w:type="dxa"/>
              <w:bottom w:w="0" w:type="dxa"/>
              <w:right w:w="57" w:type="dxa"/>
            </w:tcMar>
            <w:vAlign w:val="center"/>
          </w:tcPr>
          <w:p w14:paraId="3511ED3F">
            <w:pPr>
              <w:jc w:val="center"/>
              <w:rPr>
                <w:rFonts w:ascii="宋体" w:hAnsi="宋体"/>
                <w:b/>
                <w:bCs/>
                <w:color w:val="000000"/>
                <w:szCs w:val="21"/>
              </w:rPr>
            </w:pPr>
            <w:r>
              <w:rPr>
                <w:rFonts w:hint="eastAsia" w:ascii="宋体" w:hAnsi="宋体" w:cs="宋体"/>
                <w:b/>
                <w:bCs/>
                <w:szCs w:val="21"/>
              </w:rPr>
              <w:t>交付时间、交付地点</w:t>
            </w:r>
          </w:p>
        </w:tc>
        <w:tc>
          <w:tcPr>
            <w:tcW w:w="4060" w:type="pct"/>
            <w:gridSpan w:val="6"/>
            <w:noWrap w:val="0"/>
            <w:tcMar>
              <w:top w:w="13" w:type="dxa"/>
              <w:left w:w="57" w:type="dxa"/>
              <w:bottom w:w="0" w:type="dxa"/>
              <w:right w:w="57" w:type="dxa"/>
            </w:tcMar>
            <w:vAlign w:val="center"/>
          </w:tcPr>
          <w:p w14:paraId="622B1684">
            <w:pPr>
              <w:rPr>
                <w:rFonts w:ascii="宋体" w:hAnsi="宋体"/>
                <w:color w:val="000000"/>
                <w:sz w:val="24"/>
                <w:szCs w:val="24"/>
              </w:rPr>
            </w:pPr>
          </w:p>
        </w:tc>
      </w:tr>
      <w:tr w14:paraId="502C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40" w:type="pct"/>
            <w:gridSpan w:val="3"/>
            <w:noWrap w:val="0"/>
            <w:tcMar>
              <w:top w:w="13" w:type="dxa"/>
              <w:left w:w="57" w:type="dxa"/>
              <w:bottom w:w="0" w:type="dxa"/>
              <w:right w:w="57" w:type="dxa"/>
            </w:tcMar>
            <w:vAlign w:val="center"/>
          </w:tcPr>
          <w:p w14:paraId="661AC328">
            <w:pPr>
              <w:jc w:val="center"/>
              <w:rPr>
                <w:rFonts w:ascii="宋体" w:hAnsi="宋体"/>
                <w:b/>
                <w:bCs/>
                <w:color w:val="000000"/>
                <w:szCs w:val="21"/>
              </w:rPr>
            </w:pPr>
            <w:r>
              <w:rPr>
                <w:rFonts w:hint="eastAsia" w:ascii="宋体" w:hAnsi="宋体" w:cs="宋体"/>
                <w:b/>
                <w:bCs/>
                <w:szCs w:val="21"/>
              </w:rPr>
              <w:t>付款条件</w:t>
            </w:r>
          </w:p>
        </w:tc>
        <w:tc>
          <w:tcPr>
            <w:tcW w:w="4060" w:type="pct"/>
            <w:gridSpan w:val="6"/>
            <w:noWrap w:val="0"/>
            <w:tcMar>
              <w:top w:w="13" w:type="dxa"/>
              <w:left w:w="57" w:type="dxa"/>
              <w:bottom w:w="0" w:type="dxa"/>
              <w:right w:w="57" w:type="dxa"/>
            </w:tcMar>
            <w:vAlign w:val="center"/>
          </w:tcPr>
          <w:p w14:paraId="45337DC8">
            <w:pPr>
              <w:rPr>
                <w:rFonts w:ascii="宋体" w:hAnsi="宋体"/>
                <w:color w:val="000000"/>
                <w:sz w:val="24"/>
                <w:szCs w:val="24"/>
              </w:rPr>
            </w:pPr>
          </w:p>
        </w:tc>
      </w:tr>
    </w:tbl>
    <w:p w14:paraId="31E2ACF4">
      <w:pPr>
        <w:rPr>
          <w:rFonts w:hint="eastAsia" w:ascii="宋体" w:hAnsi="宋体" w:cs="仿宋"/>
          <w:b/>
          <w:color w:val="000000"/>
          <w:szCs w:val="21"/>
        </w:rPr>
      </w:pPr>
    </w:p>
    <w:p w14:paraId="348FC680">
      <w:pPr>
        <w:rPr>
          <w:rFonts w:hint="eastAsia" w:ascii="宋体" w:hAnsi="宋体" w:cs="仿宋"/>
          <w:b/>
          <w:szCs w:val="21"/>
        </w:rPr>
      </w:pPr>
      <w:r>
        <w:rPr>
          <w:rFonts w:hint="eastAsia" w:ascii="宋体" w:hAnsi="宋体" w:cs="仿宋"/>
          <w:b/>
          <w:color w:val="000000"/>
          <w:szCs w:val="21"/>
        </w:rPr>
        <w:t>注：①所有价格均用人民币表示，单位为元，精确到小数点后两位</w:t>
      </w:r>
      <w:r>
        <w:rPr>
          <w:rFonts w:hint="eastAsia" w:ascii="宋体" w:hAnsi="宋体" w:cs="仿宋"/>
          <w:b/>
          <w:szCs w:val="21"/>
        </w:rPr>
        <w:t>；</w:t>
      </w:r>
    </w:p>
    <w:p w14:paraId="537F4EA5">
      <w:pPr>
        <w:rPr>
          <w:rFonts w:ascii="宋体" w:hAnsi="宋体" w:cs="宋体"/>
          <w:b/>
          <w:color w:val="000000"/>
          <w:szCs w:val="21"/>
        </w:rPr>
      </w:pPr>
      <w:r>
        <w:rPr>
          <w:rFonts w:hint="eastAsia" w:ascii="宋体" w:hAnsi="宋体" w:cs="仿宋"/>
          <w:b/>
          <w:color w:val="000000"/>
          <w:szCs w:val="21"/>
        </w:rPr>
        <w:t>②本表“品牌型号、生产厂家”必须填写唯一的品牌、型号，采购需求的“品牌型号要求”中品牌、型号、生产厂家由报价人根据实际报价方案如实填写，不得缺失；报价方案应真实、可核查；如未列明，则报价人可自由选择合适品牌进行报价。</w:t>
      </w:r>
    </w:p>
    <w:p w14:paraId="42C304B7">
      <w:pPr>
        <w:ind w:right="-197" w:rightChars="-94"/>
        <w:rPr>
          <w:rFonts w:ascii="宋体" w:hAnsi="宋体" w:cs="宋体"/>
          <w:bCs/>
          <w:color w:val="000000"/>
          <w:sz w:val="28"/>
          <w:szCs w:val="28"/>
        </w:rPr>
      </w:pPr>
    </w:p>
    <w:p w14:paraId="52ADFFE0">
      <w:pPr>
        <w:ind w:right="-197" w:rightChars="-94"/>
        <w:rPr>
          <w:rFonts w:ascii="宋体" w:hAnsi="宋体" w:cs="宋体"/>
          <w:bCs/>
          <w:color w:val="000000"/>
          <w:sz w:val="28"/>
          <w:szCs w:val="28"/>
        </w:rPr>
      </w:pPr>
      <w:r>
        <w:rPr>
          <w:rFonts w:hint="eastAsia" w:ascii="宋体" w:hAnsi="宋体" w:cs="宋体"/>
          <w:b/>
          <w:color w:val="000000"/>
          <w:sz w:val="28"/>
          <w:szCs w:val="28"/>
        </w:rPr>
        <w:t>我公司承诺：我公司已阅知此项目的所有采购需求，对此项目的技术、商务及其他要求完全响应，并已按要求给出完整、合理、具有市场竞争力的报价。</w:t>
      </w:r>
    </w:p>
    <w:p w14:paraId="7F3DAC6F">
      <w:pPr>
        <w:ind w:left="10" w:leftChars="5" w:firstLine="554" w:firstLineChars="198"/>
        <w:rPr>
          <w:rFonts w:ascii="宋体" w:hAnsi="宋体" w:cs="宋体"/>
          <w:sz w:val="28"/>
          <w:szCs w:val="28"/>
        </w:rPr>
      </w:pPr>
      <w:r>
        <w:rPr>
          <w:rFonts w:hint="eastAsia" w:ascii="宋体" w:hAnsi="宋体" w:cs="宋体"/>
          <w:sz w:val="28"/>
          <w:szCs w:val="28"/>
        </w:rPr>
        <w:t>报价人：</w:t>
      </w:r>
      <w:r>
        <w:rPr>
          <w:rFonts w:hint="eastAsia" w:ascii="宋体" w:hAnsi="宋体" w:cs="宋体"/>
          <w:sz w:val="28"/>
          <w:szCs w:val="28"/>
          <w:u w:val="single"/>
        </w:rPr>
        <w:t xml:space="preserve">                           </w:t>
      </w:r>
      <w:r>
        <w:rPr>
          <w:rFonts w:hint="eastAsia" w:ascii="宋体" w:hAnsi="宋体" w:cs="宋体"/>
          <w:sz w:val="28"/>
          <w:szCs w:val="28"/>
        </w:rPr>
        <w:t>（公章）</w:t>
      </w:r>
    </w:p>
    <w:p w14:paraId="599CBF88">
      <w:pPr>
        <w:ind w:left="10" w:leftChars="5" w:firstLine="554" w:firstLineChars="198"/>
        <w:rPr>
          <w:rFonts w:ascii="宋体" w:hAnsi="宋体" w:cs="宋体"/>
          <w:sz w:val="28"/>
          <w:szCs w:val="28"/>
        </w:rPr>
      </w:pPr>
      <w:r>
        <w:rPr>
          <w:rFonts w:hint="eastAsia" w:ascii="宋体" w:hAnsi="宋体" w:cs="宋体"/>
          <w:sz w:val="28"/>
          <w:szCs w:val="28"/>
        </w:rPr>
        <w:t>法定代表人或委托代理人：</w:t>
      </w:r>
      <w:r>
        <w:rPr>
          <w:rFonts w:hint="eastAsia" w:ascii="宋体" w:hAnsi="宋体" w:cs="宋体"/>
          <w:sz w:val="28"/>
          <w:szCs w:val="28"/>
          <w:u w:val="single"/>
        </w:rPr>
        <w:t xml:space="preserve">           </w:t>
      </w:r>
      <w:r>
        <w:rPr>
          <w:rFonts w:hint="eastAsia" w:ascii="宋体" w:hAnsi="宋体" w:cs="宋体"/>
          <w:sz w:val="28"/>
          <w:szCs w:val="28"/>
        </w:rPr>
        <w:t>（签字或签章）</w:t>
      </w:r>
    </w:p>
    <w:p w14:paraId="1155C9F8">
      <w:pPr>
        <w:ind w:left="10" w:leftChars="5" w:firstLine="554" w:firstLineChars="198"/>
        <w:rPr>
          <w:rFonts w:ascii="宋体" w:hAnsi="宋体" w:cs="宋体"/>
          <w:sz w:val="28"/>
          <w:szCs w:val="28"/>
        </w:rPr>
      </w:pPr>
      <w:r>
        <w:rPr>
          <w:rFonts w:hint="eastAsia" w:ascii="宋体" w:hAnsi="宋体" w:cs="宋体"/>
          <w:sz w:val="28"/>
          <w:szCs w:val="28"/>
        </w:rPr>
        <w:t>公司地址：</w:t>
      </w:r>
      <w:r>
        <w:rPr>
          <w:rFonts w:hint="eastAsia" w:ascii="宋体" w:hAnsi="宋体" w:cs="宋体"/>
          <w:sz w:val="28"/>
          <w:szCs w:val="28"/>
          <w:u w:val="single"/>
        </w:rPr>
        <w:tab/>
      </w:r>
      <w:r>
        <w:rPr>
          <w:rFonts w:hint="eastAsia" w:ascii="宋体" w:hAnsi="宋体" w:cs="宋体"/>
          <w:sz w:val="28"/>
          <w:szCs w:val="28"/>
          <w:u w:val="single"/>
        </w:rPr>
        <w:t xml:space="preserve">   </w:t>
      </w:r>
      <w:r>
        <w:rPr>
          <w:rFonts w:ascii="宋体" w:hAnsi="宋体" w:cs="宋体"/>
          <w:sz w:val="28"/>
          <w:szCs w:val="28"/>
          <w:u w:val="single"/>
        </w:rPr>
        <w:t xml:space="preserve">                     </w:t>
      </w:r>
    </w:p>
    <w:p w14:paraId="60BB6F2D">
      <w:pPr>
        <w:ind w:left="10" w:leftChars="5" w:firstLine="554" w:firstLineChars="198"/>
        <w:rPr>
          <w:rFonts w:ascii="宋体" w:hAnsi="宋体" w:cs="宋体"/>
          <w:sz w:val="28"/>
          <w:szCs w:val="28"/>
        </w:rPr>
      </w:pPr>
      <w:r>
        <w:rPr>
          <w:rFonts w:hint="eastAsia" w:ascii="宋体" w:hAnsi="宋体" w:cs="宋体"/>
          <w:sz w:val="28"/>
          <w:szCs w:val="28"/>
        </w:rPr>
        <w:t>联系方式：</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rPr>
        <w:t>（联系人、联系电话）</w:t>
      </w:r>
    </w:p>
    <w:p w14:paraId="10E003C9">
      <w:pPr>
        <w:ind w:left="10" w:leftChars="5" w:firstLine="554" w:firstLineChars="198"/>
        <w:rPr>
          <w:rFonts w:ascii="宋体" w:hAnsi="宋体" w:cs="宋体"/>
          <w:sz w:val="28"/>
          <w:szCs w:val="28"/>
        </w:rPr>
      </w:pPr>
    </w:p>
    <w:p w14:paraId="5D577880">
      <w:pPr>
        <w:ind w:left="10" w:leftChars="1" w:hanging="8" w:hangingChars="3"/>
        <w:jc w:val="center"/>
        <w:rPr>
          <w:rFonts w:hint="eastAsia" w:ascii="宋体" w:hAnsi="宋体" w:eastAsia="宋体" w:cs="宋体"/>
          <w:sz w:val="32"/>
          <w:szCs w:val="32"/>
        </w:rPr>
      </w:pPr>
      <w:r>
        <w:rPr>
          <w:rFonts w:hint="eastAsia" w:ascii="宋体" w:hAnsi="宋体" w:cs="宋体"/>
          <w:sz w:val="28"/>
          <w:szCs w:val="28"/>
        </w:rPr>
        <w:t xml:space="preserve">                       报价日期：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jjj" w:date="2026-07-31T20:45:35Z" w:initials="j">
    <w:p w14:paraId="6F90DB92">
      <w:pPr>
        <w:pStyle w:val="12"/>
        <w:rPr>
          <w:rFonts w:hint="eastAsia"/>
          <w:lang w:val="en-US" w:eastAsia="zh-CN"/>
        </w:rPr>
      </w:pPr>
      <w:r>
        <w:rPr>
          <w:rFonts w:hint="eastAsia"/>
          <w:lang w:val="en-US" w:eastAsia="zh-CN"/>
        </w:rPr>
        <w:t>教学运行科提出</w:t>
      </w:r>
    </w:p>
    <w:p w14:paraId="2FDD6E57">
      <w:pPr>
        <w:pStyle w:val="12"/>
        <w:rPr>
          <w:rFonts w:hint="default"/>
          <w:lang w:val="en-US" w:eastAsia="zh-CN"/>
        </w:rPr>
      </w:pPr>
    </w:p>
  </w:comment>
  <w:comment w:id="1" w:author="jjj" w:date="2026-07-31T20:55:02Z" w:initials="j">
    <w:p w14:paraId="18CB9B5C">
      <w:pPr>
        <w:pStyle w:val="12"/>
        <w:rPr>
          <w:rFonts w:hint="default" w:eastAsia="宋体"/>
          <w:lang w:val="en-US" w:eastAsia="zh-CN"/>
        </w:rPr>
      </w:pPr>
      <w:r>
        <w:rPr>
          <w:rFonts w:hint="eastAsia"/>
          <w:lang w:val="en-US" w:eastAsia="zh-CN"/>
        </w:rPr>
        <w:t>教学运行科需求</w:t>
      </w:r>
    </w:p>
  </w:comment>
  <w:comment w:id="2" w:author="jjj" w:date="2026-07-31T20:33:37Z" w:initials="j">
    <w:p w14:paraId="5BE11843">
      <w:pPr>
        <w:pStyle w:val="12"/>
        <w:rPr>
          <w:rFonts w:hint="default" w:eastAsia="宋体"/>
          <w:lang w:val="en-US" w:eastAsia="zh-CN"/>
        </w:rPr>
      </w:pPr>
      <w:r>
        <w:rPr>
          <w:rFonts w:hint="eastAsia"/>
          <w:lang w:val="en-US" w:eastAsia="zh-CN"/>
        </w:rPr>
        <w:t>原升级方案中有的</w:t>
      </w:r>
    </w:p>
  </w:comment>
  <w:comment w:id="3" w:author="jjj" w:date="2026-07-31T17:31:55Z" w:initials="j">
    <w:p w14:paraId="6520E9B2">
      <w:pPr>
        <w:pStyle w:val="12"/>
        <w:rPr>
          <w:rFonts w:hint="default" w:eastAsia="宋体"/>
          <w:lang w:val="en-US" w:eastAsia="zh-CN"/>
        </w:rPr>
      </w:pPr>
      <w:r>
        <w:rPr>
          <w:rFonts w:hint="eastAsia"/>
          <w:lang w:val="en-US" w:eastAsia="zh-CN"/>
        </w:rPr>
        <w:t>升级原文中缺少的</w:t>
      </w:r>
    </w:p>
  </w:comment>
  <w:comment w:id="4" w:author="jjj" w:date="2026-07-31T20:43:53Z" w:initials="j">
    <w:p w14:paraId="09059DA4">
      <w:pPr>
        <w:pStyle w:val="12"/>
        <w:rPr>
          <w:rFonts w:hint="default" w:eastAsia="宋体"/>
          <w:lang w:val="en-US" w:eastAsia="zh-CN"/>
        </w:rPr>
      </w:pPr>
      <w:r>
        <w:rPr>
          <w:rFonts w:hint="eastAsia"/>
          <w:lang w:val="en-US" w:eastAsia="zh-CN"/>
        </w:rPr>
        <w:t>原升级文档中有</w:t>
      </w:r>
    </w:p>
  </w:comment>
  <w:comment w:id="5" w:author="jjj" w:date="2026-07-31T20:13:42Z" w:initials="j">
    <w:p w14:paraId="670B08EA">
      <w:pPr>
        <w:pStyle w:val="12"/>
        <w:rPr>
          <w:rFonts w:hint="default" w:eastAsia="宋体"/>
          <w:lang w:val="en-US" w:eastAsia="zh-CN"/>
        </w:rPr>
      </w:pPr>
      <w:r>
        <w:rPr>
          <w:rFonts w:hint="eastAsia"/>
          <w:lang w:val="en-US" w:eastAsia="zh-CN"/>
        </w:rPr>
        <w:t>考试中心提出的</w:t>
      </w:r>
    </w:p>
  </w:comment>
  <w:comment w:id="6" w:author="jjj" w:date="2026-07-31T20:26:40Z" w:initials="j">
    <w:p w14:paraId="7662C1C3">
      <w:pPr>
        <w:pStyle w:val="12"/>
        <w:rPr>
          <w:rFonts w:hint="eastAsia"/>
          <w:lang w:val="en-US" w:eastAsia="zh-CN"/>
        </w:rPr>
      </w:pPr>
      <w:r>
        <w:rPr>
          <w:rFonts w:hint="eastAsia"/>
          <w:lang w:val="en-US" w:eastAsia="zh-CN"/>
        </w:rPr>
        <w:t>教学运行科需求</w:t>
      </w:r>
    </w:p>
    <w:p w14:paraId="17C0ED39">
      <w:pPr>
        <w:pStyle w:val="12"/>
        <w:rPr>
          <w:rFonts w:hint="default"/>
          <w:lang w:val="en-US" w:eastAsia="zh-CN"/>
        </w:rPr>
      </w:pPr>
    </w:p>
  </w:comment>
  <w:comment w:id="7" w:author="jjj" w:date="2026-07-31T20:55:55Z" w:initials="j">
    <w:p w14:paraId="50F7B93D">
      <w:pPr>
        <w:pStyle w:val="12"/>
        <w:rPr>
          <w:rFonts w:hint="default" w:eastAsia="宋体"/>
          <w:lang w:val="en-US" w:eastAsia="zh-CN"/>
        </w:rPr>
      </w:pPr>
      <w:r>
        <w:rPr>
          <w:rFonts w:hint="eastAsia"/>
          <w:lang w:val="en-US" w:eastAsia="zh-CN"/>
        </w:rPr>
        <w:t>考试中心需求</w:t>
      </w:r>
    </w:p>
  </w:comment>
  <w:comment w:id="8" w:author="jjj" w:date="2026-07-31T20:19:56Z" w:initials="j">
    <w:p w14:paraId="7D202359">
      <w:pPr>
        <w:pStyle w:val="12"/>
        <w:rPr>
          <w:rFonts w:hint="default" w:eastAsia="宋体"/>
          <w:lang w:val="en-US" w:eastAsia="zh-CN"/>
        </w:rPr>
      </w:pPr>
      <w:r>
        <w:rPr>
          <w:rFonts w:hint="eastAsia"/>
          <w:lang w:val="en-US" w:eastAsia="zh-CN"/>
        </w:rPr>
        <w:t>之前征集需求时质控科提出的</w:t>
      </w:r>
    </w:p>
  </w:comment>
  <w:comment w:id="9" w:author="jjj" w:date="2026-07-31T20:23:48Z" w:initials="j">
    <w:p w14:paraId="244B92BD">
      <w:pPr>
        <w:pStyle w:val="12"/>
        <w:rPr>
          <w:rFonts w:hint="default" w:eastAsia="宋体"/>
          <w:lang w:val="en-US" w:eastAsia="zh-CN"/>
        </w:rPr>
      </w:pPr>
      <w:r>
        <w:rPr>
          <w:rFonts w:hint="eastAsia"/>
          <w:lang w:val="en-US" w:eastAsia="zh-CN"/>
        </w:rPr>
        <w:t>教学运行科提出需求</w:t>
      </w:r>
    </w:p>
  </w:comment>
  <w:comment w:id="10" w:author="jjj" w:date="2026-07-31T18:09:51Z" w:initials="j">
    <w:p w14:paraId="0B081236">
      <w:pPr>
        <w:pStyle w:val="12"/>
        <w:rPr>
          <w:rFonts w:hint="default" w:eastAsia="宋体"/>
          <w:lang w:val="en-US" w:eastAsia="zh-CN"/>
        </w:rPr>
      </w:pPr>
      <w:r>
        <w:rPr>
          <w:rFonts w:hint="eastAsia"/>
          <w:lang w:val="en-US" w:eastAsia="zh-CN"/>
        </w:rPr>
        <w:t>原文中没有写教师移动端</w:t>
      </w:r>
    </w:p>
  </w:comment>
  <w:comment w:id="11" w:author="jjj" w:date="2026-07-31T18:14:54Z" w:initials="j">
    <w:p w14:paraId="52A5B5B3">
      <w:pPr>
        <w:pStyle w:val="12"/>
        <w:rPr>
          <w:rFonts w:hint="eastAsia"/>
          <w:lang w:val="en-US" w:eastAsia="zh-CN"/>
        </w:rPr>
      </w:pPr>
      <w:r>
        <w:rPr>
          <w:rFonts w:hint="eastAsia"/>
          <w:lang w:val="en-US" w:eastAsia="zh-CN"/>
        </w:rPr>
        <w:t>原文中有这段内容，在表格中没有了</w:t>
      </w:r>
    </w:p>
    <w:p w14:paraId="63C3D0B8">
      <w:pPr>
        <w:pStyle w:val="12"/>
        <w:rPr>
          <w:rFonts w:hint="default"/>
          <w:lang w:val="en-US" w:eastAsia="zh-CN"/>
        </w:rPr>
      </w:pPr>
    </w:p>
  </w:comment>
  <w:comment w:id="12" w:author="jjj" w:date="2026-07-31T18:44:45Z" w:initials="j">
    <w:p w14:paraId="58895B3A">
      <w:pPr>
        <w:pStyle w:val="12"/>
        <w:rPr>
          <w:rFonts w:hint="eastAsia"/>
          <w:lang w:val="en-US" w:eastAsia="zh-CN"/>
        </w:rPr>
      </w:pPr>
      <w:r>
        <w:rPr>
          <w:rFonts w:hint="eastAsia"/>
          <w:lang w:val="en-US" w:eastAsia="zh-CN"/>
        </w:rPr>
        <w:t>与学籍管理中的功能重复</w:t>
      </w:r>
    </w:p>
    <w:p w14:paraId="5BAB05D1">
      <w:pPr>
        <w:pStyle w:val="12"/>
        <w:rPr>
          <w:rFonts w:hint="default"/>
          <w:lang w:val="en-US" w:eastAsia="zh-CN"/>
        </w:rPr>
      </w:pPr>
    </w:p>
  </w:comment>
  <w:comment w:id="13" w:author="jjj" w:date="2026-07-31T19:44:49Z" w:initials="j">
    <w:p w14:paraId="7547919A">
      <w:pPr>
        <w:pStyle w:val="12"/>
        <w:rPr>
          <w:rFonts w:hint="default" w:eastAsia="宋体"/>
          <w:lang w:val="en-US" w:eastAsia="zh-CN"/>
        </w:rPr>
      </w:pPr>
      <w:r>
        <w:rPr>
          <w:rFonts w:hint="eastAsia"/>
          <w:lang w:val="en-US" w:eastAsia="zh-CN"/>
        </w:rPr>
        <w:t>原文中有，这里丢失</w:t>
      </w:r>
    </w:p>
  </w:comment>
  <w:comment w:id="14" w:author="jjj" w:date="2026-07-31T19:48:43Z" w:initials="j">
    <w:p w14:paraId="61AE7CC9">
      <w:pPr>
        <w:pStyle w:val="12"/>
        <w:rPr>
          <w:rFonts w:hint="eastAsia"/>
          <w:lang w:val="en-US" w:eastAsia="zh-CN"/>
        </w:rPr>
      </w:pPr>
      <w:r>
        <w:rPr>
          <w:rFonts w:hint="eastAsia"/>
          <w:lang w:val="en-US" w:eastAsia="zh-CN"/>
        </w:rPr>
        <w:t>原文中有，这里丢失</w:t>
      </w:r>
    </w:p>
    <w:p w14:paraId="699B7E71">
      <w:pPr>
        <w:pStyle w:val="12"/>
        <w:rPr>
          <w:rFonts w:hint="default"/>
          <w:lang w:val="en-US" w:eastAsia="zh-CN"/>
        </w:rPr>
      </w:pPr>
    </w:p>
  </w:comment>
  <w:comment w:id="15" w:author="jjj" w:date="2026-07-31T19:50:46Z" w:initials="j">
    <w:p w14:paraId="3BDDA478">
      <w:pPr>
        <w:pStyle w:val="12"/>
        <w:rPr>
          <w:rFonts w:hint="eastAsia"/>
          <w:lang w:val="en-US" w:eastAsia="zh-CN"/>
        </w:rPr>
      </w:pPr>
      <w:r>
        <w:rPr>
          <w:rFonts w:hint="eastAsia"/>
          <w:lang w:val="en-US" w:eastAsia="zh-CN"/>
        </w:rPr>
        <w:t>原科研申报修改为课外课题申报</w:t>
      </w:r>
    </w:p>
    <w:p w14:paraId="5397273B">
      <w:pPr>
        <w:pStyle w:val="12"/>
        <w:rPr>
          <w:rFonts w:hint="default"/>
          <w:lang w:val="en-US" w:eastAsia="zh-CN"/>
        </w:rPr>
      </w:pPr>
    </w:p>
  </w:comment>
  <w:comment w:id="16" w:author="jjj" w:date="2026-07-31T19:52:32Z" w:initials="j">
    <w:p w14:paraId="646E3C1E">
      <w:pPr>
        <w:pStyle w:val="12"/>
        <w:rPr>
          <w:rFonts w:hint="default" w:eastAsia="宋体"/>
          <w:lang w:val="en-US" w:eastAsia="zh-CN"/>
        </w:rPr>
      </w:pPr>
      <w:r>
        <w:rPr>
          <w:rFonts w:hint="eastAsia"/>
          <w:lang w:val="en-US" w:eastAsia="zh-CN"/>
        </w:rPr>
        <w:t>是否，不是只否</w:t>
      </w:r>
    </w:p>
    <w:p w14:paraId="01582C5B">
      <w:pPr>
        <w:pStyle w:val="12"/>
        <w:rPr>
          <w:rFonts w:hint="default" w:eastAsia="宋体"/>
          <w:lang w:val="en-US" w:eastAsia="zh-CN"/>
        </w:rPr>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FDD6E57" w15:done="0"/>
  <w15:commentEx w15:paraId="18CB9B5C" w15:done="0"/>
  <w15:commentEx w15:paraId="5BE11843" w15:done="0"/>
  <w15:commentEx w15:paraId="6520E9B2" w15:done="0"/>
  <w15:commentEx w15:paraId="09059DA4" w15:done="0"/>
  <w15:commentEx w15:paraId="670B08EA" w15:done="0"/>
  <w15:commentEx w15:paraId="17C0ED39" w15:done="0"/>
  <w15:commentEx w15:paraId="50F7B93D" w15:done="0"/>
  <w15:commentEx w15:paraId="7D202359" w15:done="0"/>
  <w15:commentEx w15:paraId="244B92BD" w15:done="0"/>
  <w15:commentEx w15:paraId="0B081236" w15:done="0"/>
  <w15:commentEx w15:paraId="63C3D0B8" w15:done="0"/>
  <w15:commentEx w15:paraId="5BAB05D1" w15:done="0"/>
  <w15:commentEx w15:paraId="7547919A" w15:done="0"/>
  <w15:commentEx w15:paraId="699B7E71" w15:done="0"/>
  <w15:commentEx w15:paraId="5397273B" w15:done="0"/>
  <w15:commentEx w15:paraId="01582C5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96131"/>
    <w:multiLevelType w:val="singleLevel"/>
    <w:tmpl w:val="80996131"/>
    <w:lvl w:ilvl="0" w:tentative="0">
      <w:start w:val="1"/>
      <w:numFmt w:val="decimal"/>
      <w:suff w:val="nothing"/>
      <w:lvlText w:val="%1."/>
      <w:lvlJc w:val="left"/>
      <w:pPr>
        <w:ind w:left="425" w:hanging="425"/>
      </w:pPr>
      <w:rPr>
        <w:rFonts w:hint="default"/>
      </w:rPr>
    </w:lvl>
  </w:abstractNum>
  <w:abstractNum w:abstractNumId="1">
    <w:nsid w:val="86326B37"/>
    <w:multiLevelType w:val="singleLevel"/>
    <w:tmpl w:val="86326B37"/>
    <w:lvl w:ilvl="0" w:tentative="0">
      <w:start w:val="1"/>
      <w:numFmt w:val="decimal"/>
      <w:lvlText w:val="(%1)"/>
      <w:lvlJc w:val="left"/>
      <w:pPr>
        <w:ind w:left="425" w:hanging="425"/>
      </w:pPr>
      <w:rPr>
        <w:rFonts w:hint="default"/>
      </w:rPr>
    </w:lvl>
  </w:abstractNum>
  <w:abstractNum w:abstractNumId="2">
    <w:nsid w:val="92216D26"/>
    <w:multiLevelType w:val="multilevel"/>
    <w:tmpl w:val="92216D26"/>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
    <w:nsid w:val="A982C6BB"/>
    <w:multiLevelType w:val="singleLevel"/>
    <w:tmpl w:val="A982C6BB"/>
    <w:lvl w:ilvl="0" w:tentative="0">
      <w:start w:val="1"/>
      <w:numFmt w:val="decimal"/>
      <w:suff w:val="nothing"/>
      <w:lvlText w:val="(%1)"/>
      <w:lvlJc w:val="left"/>
      <w:pPr>
        <w:ind w:left="425" w:hanging="425"/>
      </w:pPr>
      <w:rPr>
        <w:rFonts w:hint="default"/>
      </w:rPr>
    </w:lvl>
  </w:abstractNum>
  <w:abstractNum w:abstractNumId="4">
    <w:nsid w:val="AF47FAC4"/>
    <w:multiLevelType w:val="singleLevel"/>
    <w:tmpl w:val="AF47FAC4"/>
    <w:lvl w:ilvl="0" w:tentative="0">
      <w:start w:val="1"/>
      <w:numFmt w:val="decimal"/>
      <w:suff w:val="nothing"/>
      <w:lvlText w:val="%1."/>
      <w:lvlJc w:val="left"/>
      <w:pPr>
        <w:ind w:left="425" w:hanging="425"/>
      </w:pPr>
      <w:rPr>
        <w:rFonts w:hint="default"/>
      </w:rPr>
    </w:lvl>
  </w:abstractNum>
  <w:abstractNum w:abstractNumId="5">
    <w:nsid w:val="AFF51969"/>
    <w:multiLevelType w:val="singleLevel"/>
    <w:tmpl w:val="AFF51969"/>
    <w:lvl w:ilvl="0" w:tentative="0">
      <w:start w:val="1"/>
      <w:numFmt w:val="decimal"/>
      <w:lvlText w:val="(%1)"/>
      <w:lvlJc w:val="left"/>
      <w:pPr>
        <w:ind w:left="425" w:hanging="425"/>
      </w:pPr>
      <w:rPr>
        <w:rFonts w:hint="default"/>
      </w:rPr>
    </w:lvl>
  </w:abstractNum>
  <w:abstractNum w:abstractNumId="6">
    <w:nsid w:val="B07AB321"/>
    <w:multiLevelType w:val="singleLevel"/>
    <w:tmpl w:val="B07AB321"/>
    <w:lvl w:ilvl="0" w:tentative="0">
      <w:start w:val="1"/>
      <w:numFmt w:val="decimal"/>
      <w:suff w:val="nothing"/>
      <w:lvlText w:val="(%1)"/>
      <w:lvlJc w:val="left"/>
      <w:pPr>
        <w:ind w:left="425" w:hanging="425"/>
      </w:pPr>
      <w:rPr>
        <w:rFonts w:hint="default"/>
      </w:rPr>
    </w:lvl>
  </w:abstractNum>
  <w:abstractNum w:abstractNumId="7">
    <w:nsid w:val="B2B50B4B"/>
    <w:multiLevelType w:val="singleLevel"/>
    <w:tmpl w:val="B2B50B4B"/>
    <w:lvl w:ilvl="0" w:tentative="0">
      <w:start w:val="1"/>
      <w:numFmt w:val="decimal"/>
      <w:suff w:val="nothing"/>
      <w:lvlText w:val="(%1)"/>
      <w:lvlJc w:val="left"/>
      <w:pPr>
        <w:ind w:left="425" w:hanging="425"/>
      </w:pPr>
      <w:rPr>
        <w:rFonts w:hint="default"/>
      </w:rPr>
    </w:lvl>
  </w:abstractNum>
  <w:abstractNum w:abstractNumId="8">
    <w:nsid w:val="B829CA81"/>
    <w:multiLevelType w:val="singleLevel"/>
    <w:tmpl w:val="B829CA81"/>
    <w:lvl w:ilvl="0" w:tentative="0">
      <w:start w:val="1"/>
      <w:numFmt w:val="decimal"/>
      <w:lvlText w:val="(%1)"/>
      <w:lvlJc w:val="left"/>
      <w:pPr>
        <w:ind w:left="425" w:hanging="425"/>
      </w:pPr>
      <w:rPr>
        <w:rFonts w:hint="default"/>
      </w:rPr>
    </w:lvl>
  </w:abstractNum>
  <w:abstractNum w:abstractNumId="9">
    <w:nsid w:val="BCBF1354"/>
    <w:multiLevelType w:val="singleLevel"/>
    <w:tmpl w:val="BCBF1354"/>
    <w:lvl w:ilvl="0" w:tentative="0">
      <w:start w:val="1"/>
      <w:numFmt w:val="decimal"/>
      <w:suff w:val="nothing"/>
      <w:lvlText w:val="(%1)"/>
      <w:lvlJc w:val="left"/>
      <w:pPr>
        <w:ind w:left="425" w:hanging="425"/>
      </w:pPr>
      <w:rPr>
        <w:rFonts w:hint="default"/>
      </w:rPr>
    </w:lvl>
  </w:abstractNum>
  <w:abstractNum w:abstractNumId="10">
    <w:nsid w:val="C1252604"/>
    <w:multiLevelType w:val="singleLevel"/>
    <w:tmpl w:val="C1252604"/>
    <w:lvl w:ilvl="0" w:tentative="0">
      <w:start w:val="1"/>
      <w:numFmt w:val="decimal"/>
      <w:suff w:val="nothing"/>
      <w:lvlText w:val="(%1)"/>
      <w:lvlJc w:val="left"/>
      <w:pPr>
        <w:ind w:left="425" w:hanging="425"/>
      </w:pPr>
      <w:rPr>
        <w:rFonts w:hint="default"/>
      </w:rPr>
    </w:lvl>
  </w:abstractNum>
  <w:abstractNum w:abstractNumId="11">
    <w:nsid w:val="C3ABAE9E"/>
    <w:multiLevelType w:val="singleLevel"/>
    <w:tmpl w:val="C3ABAE9E"/>
    <w:lvl w:ilvl="0" w:tentative="0">
      <w:start w:val="1"/>
      <w:numFmt w:val="decimal"/>
      <w:suff w:val="nothing"/>
      <w:lvlText w:val="(%1)"/>
      <w:lvlJc w:val="left"/>
      <w:pPr>
        <w:ind w:left="425" w:hanging="425"/>
      </w:pPr>
      <w:rPr>
        <w:rFonts w:hint="default"/>
      </w:rPr>
    </w:lvl>
  </w:abstractNum>
  <w:abstractNum w:abstractNumId="12">
    <w:nsid w:val="D1981FD8"/>
    <w:multiLevelType w:val="singleLevel"/>
    <w:tmpl w:val="D1981FD8"/>
    <w:lvl w:ilvl="0" w:tentative="0">
      <w:start w:val="1"/>
      <w:numFmt w:val="decimal"/>
      <w:suff w:val="nothing"/>
      <w:lvlText w:val="(%1)"/>
      <w:lvlJc w:val="left"/>
      <w:pPr>
        <w:ind w:left="425" w:hanging="425"/>
      </w:pPr>
      <w:rPr>
        <w:rFonts w:hint="default"/>
      </w:rPr>
    </w:lvl>
  </w:abstractNum>
  <w:abstractNum w:abstractNumId="13">
    <w:nsid w:val="D9816EEA"/>
    <w:multiLevelType w:val="singleLevel"/>
    <w:tmpl w:val="D9816EEA"/>
    <w:lvl w:ilvl="0" w:tentative="0">
      <w:start w:val="1"/>
      <w:numFmt w:val="decimal"/>
      <w:suff w:val="nothing"/>
      <w:lvlText w:val="%1."/>
      <w:lvlJc w:val="left"/>
      <w:pPr>
        <w:ind w:left="425" w:hanging="425"/>
      </w:pPr>
      <w:rPr>
        <w:rFonts w:hint="default"/>
      </w:rPr>
    </w:lvl>
  </w:abstractNum>
  <w:abstractNum w:abstractNumId="14">
    <w:nsid w:val="DEBF9867"/>
    <w:multiLevelType w:val="singleLevel"/>
    <w:tmpl w:val="DEBF9867"/>
    <w:lvl w:ilvl="0" w:tentative="0">
      <w:start w:val="1"/>
      <w:numFmt w:val="decimal"/>
      <w:lvlText w:val="(%1)"/>
      <w:lvlJc w:val="left"/>
      <w:pPr>
        <w:ind w:left="425" w:hanging="425"/>
      </w:pPr>
      <w:rPr>
        <w:rFonts w:hint="default"/>
      </w:rPr>
    </w:lvl>
  </w:abstractNum>
  <w:abstractNum w:abstractNumId="15">
    <w:nsid w:val="E749110D"/>
    <w:multiLevelType w:val="singleLevel"/>
    <w:tmpl w:val="E749110D"/>
    <w:lvl w:ilvl="0" w:tentative="0">
      <w:start w:val="1"/>
      <w:numFmt w:val="decimal"/>
      <w:suff w:val="nothing"/>
      <w:lvlText w:val="%1."/>
      <w:lvlJc w:val="left"/>
      <w:pPr>
        <w:ind w:left="425" w:hanging="425"/>
      </w:pPr>
      <w:rPr>
        <w:rFonts w:hint="default"/>
      </w:rPr>
    </w:lvl>
  </w:abstractNum>
  <w:abstractNum w:abstractNumId="16">
    <w:nsid w:val="E932BCD9"/>
    <w:multiLevelType w:val="singleLevel"/>
    <w:tmpl w:val="E932BCD9"/>
    <w:lvl w:ilvl="0" w:tentative="0">
      <w:start w:val="1"/>
      <w:numFmt w:val="decimal"/>
      <w:suff w:val="nothing"/>
      <w:lvlText w:val="%1."/>
      <w:lvlJc w:val="left"/>
      <w:pPr>
        <w:ind w:left="425" w:hanging="425"/>
      </w:pPr>
      <w:rPr>
        <w:rFonts w:hint="default"/>
      </w:rPr>
    </w:lvl>
  </w:abstractNum>
  <w:abstractNum w:abstractNumId="17">
    <w:nsid w:val="EE27D909"/>
    <w:multiLevelType w:val="singleLevel"/>
    <w:tmpl w:val="EE27D909"/>
    <w:lvl w:ilvl="0" w:tentative="0">
      <w:start w:val="1"/>
      <w:numFmt w:val="decimal"/>
      <w:suff w:val="nothing"/>
      <w:lvlText w:val="%1."/>
      <w:lvlJc w:val="left"/>
      <w:pPr>
        <w:ind w:left="425" w:hanging="425"/>
      </w:pPr>
      <w:rPr>
        <w:rFonts w:hint="default"/>
      </w:rPr>
    </w:lvl>
  </w:abstractNum>
  <w:abstractNum w:abstractNumId="18">
    <w:nsid w:val="F05436AA"/>
    <w:multiLevelType w:val="multilevel"/>
    <w:tmpl w:val="F05436AA"/>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9">
    <w:nsid w:val="FD2FDBBF"/>
    <w:multiLevelType w:val="singleLevel"/>
    <w:tmpl w:val="FD2FDBBF"/>
    <w:lvl w:ilvl="0" w:tentative="0">
      <w:start w:val="1"/>
      <w:numFmt w:val="decimal"/>
      <w:suff w:val="nothing"/>
      <w:lvlText w:val="%1."/>
      <w:lvlJc w:val="left"/>
      <w:pPr>
        <w:ind w:left="425" w:hanging="425"/>
      </w:pPr>
      <w:rPr>
        <w:rFonts w:hint="default"/>
      </w:rPr>
    </w:lvl>
  </w:abstractNum>
  <w:abstractNum w:abstractNumId="20">
    <w:nsid w:val="05E69412"/>
    <w:multiLevelType w:val="singleLevel"/>
    <w:tmpl w:val="05E69412"/>
    <w:lvl w:ilvl="0" w:tentative="0">
      <w:start w:val="1"/>
      <w:numFmt w:val="decimal"/>
      <w:suff w:val="nothing"/>
      <w:lvlText w:val="%1."/>
      <w:lvlJc w:val="left"/>
      <w:pPr>
        <w:ind w:left="425" w:hanging="425"/>
      </w:pPr>
      <w:rPr>
        <w:rFonts w:hint="default"/>
      </w:rPr>
    </w:lvl>
  </w:abstractNum>
  <w:abstractNum w:abstractNumId="21">
    <w:nsid w:val="0FD61C80"/>
    <w:multiLevelType w:val="singleLevel"/>
    <w:tmpl w:val="0FD61C80"/>
    <w:lvl w:ilvl="0" w:tentative="0">
      <w:start w:val="1"/>
      <w:numFmt w:val="decimal"/>
      <w:suff w:val="nothing"/>
      <w:lvlText w:val="(%1)"/>
      <w:lvlJc w:val="left"/>
      <w:pPr>
        <w:ind w:left="425" w:hanging="425"/>
      </w:pPr>
      <w:rPr>
        <w:rFonts w:hint="default"/>
      </w:rPr>
    </w:lvl>
  </w:abstractNum>
  <w:abstractNum w:abstractNumId="22">
    <w:nsid w:val="11ED4487"/>
    <w:multiLevelType w:val="singleLevel"/>
    <w:tmpl w:val="11ED4487"/>
    <w:lvl w:ilvl="0" w:tentative="0">
      <w:start w:val="1"/>
      <w:numFmt w:val="decimal"/>
      <w:suff w:val="nothing"/>
      <w:lvlText w:val="%1."/>
      <w:lvlJc w:val="left"/>
      <w:pPr>
        <w:ind w:left="425" w:hanging="425"/>
      </w:pPr>
      <w:rPr>
        <w:rFonts w:hint="default"/>
      </w:rPr>
    </w:lvl>
  </w:abstractNum>
  <w:abstractNum w:abstractNumId="23">
    <w:nsid w:val="15BE8057"/>
    <w:multiLevelType w:val="multilevel"/>
    <w:tmpl w:val="15BE805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24">
    <w:nsid w:val="1C5144CA"/>
    <w:multiLevelType w:val="multilevel"/>
    <w:tmpl w:val="1C5144CA"/>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5">
    <w:nsid w:val="228EDA8B"/>
    <w:multiLevelType w:val="singleLevel"/>
    <w:tmpl w:val="228EDA8B"/>
    <w:lvl w:ilvl="0" w:tentative="0">
      <w:start w:val="1"/>
      <w:numFmt w:val="decimal"/>
      <w:suff w:val="nothing"/>
      <w:lvlText w:val="%1."/>
      <w:lvlJc w:val="left"/>
      <w:pPr>
        <w:ind w:left="425" w:hanging="425"/>
      </w:pPr>
      <w:rPr>
        <w:rFonts w:hint="default"/>
      </w:rPr>
    </w:lvl>
  </w:abstractNum>
  <w:abstractNum w:abstractNumId="26">
    <w:nsid w:val="254CA508"/>
    <w:multiLevelType w:val="singleLevel"/>
    <w:tmpl w:val="254CA508"/>
    <w:lvl w:ilvl="0" w:tentative="0">
      <w:start w:val="1"/>
      <w:numFmt w:val="decimal"/>
      <w:suff w:val="nothing"/>
      <w:lvlText w:val="%1."/>
      <w:lvlJc w:val="left"/>
      <w:pPr>
        <w:ind w:left="425" w:hanging="425"/>
      </w:pPr>
      <w:rPr>
        <w:rFonts w:hint="default"/>
      </w:rPr>
    </w:lvl>
  </w:abstractNum>
  <w:abstractNum w:abstractNumId="27">
    <w:nsid w:val="29F039D6"/>
    <w:multiLevelType w:val="singleLevel"/>
    <w:tmpl w:val="29F039D6"/>
    <w:lvl w:ilvl="0" w:tentative="0">
      <w:start w:val="1"/>
      <w:numFmt w:val="decimal"/>
      <w:suff w:val="nothing"/>
      <w:lvlText w:val="%1."/>
      <w:lvlJc w:val="left"/>
      <w:pPr>
        <w:ind w:left="425" w:hanging="425"/>
      </w:pPr>
      <w:rPr>
        <w:rFonts w:hint="default"/>
      </w:rPr>
    </w:lvl>
  </w:abstractNum>
  <w:abstractNum w:abstractNumId="28">
    <w:nsid w:val="2C0B0CB4"/>
    <w:multiLevelType w:val="singleLevel"/>
    <w:tmpl w:val="2C0B0CB4"/>
    <w:lvl w:ilvl="0" w:tentative="0">
      <w:start w:val="1"/>
      <w:numFmt w:val="decimal"/>
      <w:suff w:val="nothing"/>
      <w:lvlText w:val="%1."/>
      <w:lvlJc w:val="left"/>
      <w:pPr>
        <w:ind w:left="425" w:hanging="425"/>
      </w:pPr>
      <w:rPr>
        <w:rFonts w:hint="default"/>
      </w:rPr>
    </w:lvl>
  </w:abstractNum>
  <w:abstractNum w:abstractNumId="29">
    <w:nsid w:val="369B6380"/>
    <w:multiLevelType w:val="multilevel"/>
    <w:tmpl w:val="369B6380"/>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0">
    <w:nsid w:val="3C1440EB"/>
    <w:multiLevelType w:val="singleLevel"/>
    <w:tmpl w:val="3C1440EB"/>
    <w:lvl w:ilvl="0" w:tentative="0">
      <w:start w:val="1"/>
      <w:numFmt w:val="decimal"/>
      <w:suff w:val="nothing"/>
      <w:lvlText w:val="%1."/>
      <w:lvlJc w:val="left"/>
      <w:pPr>
        <w:ind w:left="425" w:hanging="425"/>
      </w:pPr>
      <w:rPr>
        <w:rFonts w:hint="default"/>
      </w:rPr>
    </w:lvl>
  </w:abstractNum>
  <w:abstractNum w:abstractNumId="31">
    <w:nsid w:val="3EB73222"/>
    <w:multiLevelType w:val="multilevel"/>
    <w:tmpl w:val="3EB73222"/>
    <w:lvl w:ilvl="0" w:tentative="0">
      <w:start w:val="1"/>
      <w:numFmt w:val="decimal"/>
      <w:lvlText w:val="%1."/>
      <w:lvlJc w:val="left"/>
      <w:pPr>
        <w:ind w:left="420" w:hanging="420"/>
      </w:pPr>
      <w:rPr>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3F115659"/>
    <w:multiLevelType w:val="singleLevel"/>
    <w:tmpl w:val="3F115659"/>
    <w:lvl w:ilvl="0" w:tentative="0">
      <w:start w:val="1"/>
      <w:numFmt w:val="decimal"/>
      <w:suff w:val="nothing"/>
      <w:lvlText w:val="%1."/>
      <w:lvlJc w:val="left"/>
      <w:pPr>
        <w:ind w:left="425" w:hanging="425"/>
      </w:pPr>
      <w:rPr>
        <w:rFonts w:hint="default"/>
      </w:rPr>
    </w:lvl>
  </w:abstractNum>
  <w:abstractNum w:abstractNumId="33">
    <w:nsid w:val="4BF1D893"/>
    <w:multiLevelType w:val="multilevel"/>
    <w:tmpl w:val="4BF1D893"/>
    <w:lvl w:ilvl="0" w:tentative="0">
      <w:start w:val="1"/>
      <w:numFmt w:val="decimal"/>
      <w:suff w:val="nothing"/>
      <w:lvlText w:val="%1."/>
      <w:lvlJc w:val="left"/>
      <w:pPr>
        <w:tabs>
          <w:tab w:val="left" w:pos="0"/>
        </w:tabs>
        <w:ind w:left="425" w:hanging="425"/>
      </w:pPr>
      <w:rPr>
        <w:rFonts w:hint="default"/>
      </w:r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34">
    <w:nsid w:val="51783866"/>
    <w:multiLevelType w:val="singleLevel"/>
    <w:tmpl w:val="51783866"/>
    <w:lvl w:ilvl="0" w:tentative="0">
      <w:start w:val="1"/>
      <w:numFmt w:val="decimal"/>
      <w:suff w:val="nothing"/>
      <w:lvlText w:val="(%1)"/>
      <w:lvlJc w:val="left"/>
      <w:pPr>
        <w:ind w:left="425" w:hanging="425"/>
      </w:pPr>
      <w:rPr>
        <w:rFonts w:hint="default"/>
      </w:rPr>
    </w:lvl>
  </w:abstractNum>
  <w:abstractNum w:abstractNumId="35">
    <w:nsid w:val="5FFC4EA2"/>
    <w:multiLevelType w:val="singleLevel"/>
    <w:tmpl w:val="5FFC4EA2"/>
    <w:lvl w:ilvl="0" w:tentative="0">
      <w:start w:val="1"/>
      <w:numFmt w:val="decimal"/>
      <w:suff w:val="nothing"/>
      <w:lvlText w:val="%1."/>
      <w:lvlJc w:val="left"/>
      <w:pPr>
        <w:ind w:left="425" w:hanging="425"/>
      </w:pPr>
      <w:rPr>
        <w:rFonts w:hint="default"/>
      </w:rPr>
    </w:lvl>
  </w:abstractNum>
  <w:abstractNum w:abstractNumId="36">
    <w:nsid w:val="68DFAFAB"/>
    <w:multiLevelType w:val="singleLevel"/>
    <w:tmpl w:val="68DFAFAB"/>
    <w:lvl w:ilvl="0" w:tentative="0">
      <w:start w:val="1"/>
      <w:numFmt w:val="decimal"/>
      <w:suff w:val="nothing"/>
      <w:lvlText w:val="(%1)"/>
      <w:lvlJc w:val="left"/>
      <w:pPr>
        <w:ind w:left="425" w:hanging="425"/>
      </w:pPr>
      <w:rPr>
        <w:rFonts w:hint="default"/>
      </w:rPr>
    </w:lvl>
  </w:abstractNum>
  <w:abstractNum w:abstractNumId="37">
    <w:nsid w:val="6B265844"/>
    <w:multiLevelType w:val="multilevel"/>
    <w:tmpl w:val="6B265844"/>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8">
    <w:nsid w:val="736CFDF4"/>
    <w:multiLevelType w:val="multilevel"/>
    <w:tmpl w:val="736CFDF4"/>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9">
    <w:nsid w:val="75E32421"/>
    <w:multiLevelType w:val="multilevel"/>
    <w:tmpl w:val="75E32421"/>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upp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40">
    <w:nsid w:val="7B610F02"/>
    <w:multiLevelType w:val="singleLevel"/>
    <w:tmpl w:val="7B610F02"/>
    <w:lvl w:ilvl="0" w:tentative="0">
      <w:start w:val="1"/>
      <w:numFmt w:val="decimal"/>
      <w:suff w:val="nothing"/>
      <w:lvlText w:val="%1."/>
      <w:lvlJc w:val="left"/>
      <w:pPr>
        <w:ind w:left="425" w:hanging="425"/>
      </w:pPr>
      <w:rPr>
        <w:rFonts w:hint="default"/>
      </w:rPr>
    </w:lvl>
  </w:abstractNum>
  <w:abstractNum w:abstractNumId="41">
    <w:nsid w:val="7F7FBDE3"/>
    <w:multiLevelType w:val="multilevel"/>
    <w:tmpl w:val="7F7FBDE3"/>
    <w:lvl w:ilvl="0" w:tentative="0">
      <w:start w:val="1"/>
      <w:numFmt w:val="decimal"/>
      <w:suff w:val="nothing"/>
      <w:lvlText w:val="%1."/>
      <w:lvlJc w:val="left"/>
      <w:pPr>
        <w:tabs>
          <w:tab w:val="left" w:pos="0"/>
        </w:tabs>
        <w:ind w:left="425" w:hanging="425"/>
      </w:pPr>
      <w:rPr>
        <w:rFonts w:hint="default" w:ascii="宋体" w:hAnsi="宋体" w:eastAsia="宋体" w:cs="宋体"/>
      </w:rPr>
    </w:lvl>
    <w:lvl w:ilvl="1" w:tentative="0">
      <w:start w:val="1"/>
      <w:numFmt w:val="decimal"/>
      <w:suff w:val="nothing"/>
      <w:lvlText w:val="（%2）"/>
      <w:lvlJc w:val="left"/>
      <w:pPr>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24"/>
  </w:num>
  <w:num w:numId="2">
    <w:abstractNumId w:val="28"/>
  </w:num>
  <w:num w:numId="3">
    <w:abstractNumId w:val="35"/>
  </w:num>
  <w:num w:numId="4">
    <w:abstractNumId w:val="0"/>
  </w:num>
  <w:num w:numId="5">
    <w:abstractNumId w:val="1"/>
  </w:num>
  <w:num w:numId="6">
    <w:abstractNumId w:val="8"/>
  </w:num>
  <w:num w:numId="7">
    <w:abstractNumId w:val="5"/>
  </w:num>
  <w:num w:numId="8">
    <w:abstractNumId w:val="14"/>
  </w:num>
  <w:num w:numId="9">
    <w:abstractNumId w:val="36"/>
  </w:num>
  <w:num w:numId="10">
    <w:abstractNumId w:val="34"/>
  </w:num>
  <w:num w:numId="11">
    <w:abstractNumId w:val="11"/>
  </w:num>
  <w:num w:numId="12">
    <w:abstractNumId w:val="19"/>
  </w:num>
  <w:num w:numId="13">
    <w:abstractNumId w:val="21"/>
  </w:num>
  <w:num w:numId="14">
    <w:abstractNumId w:val="4"/>
  </w:num>
  <w:num w:numId="15">
    <w:abstractNumId w:val="20"/>
  </w:num>
  <w:num w:numId="16">
    <w:abstractNumId w:val="40"/>
  </w:num>
  <w:num w:numId="17">
    <w:abstractNumId w:val="41"/>
  </w:num>
  <w:num w:numId="18">
    <w:abstractNumId w:val="13"/>
  </w:num>
  <w:num w:numId="19">
    <w:abstractNumId w:val="15"/>
  </w:num>
  <w:num w:numId="20">
    <w:abstractNumId w:val="30"/>
  </w:num>
  <w:num w:numId="21">
    <w:abstractNumId w:val="26"/>
  </w:num>
  <w:num w:numId="22">
    <w:abstractNumId w:val="17"/>
  </w:num>
  <w:num w:numId="23">
    <w:abstractNumId w:val="16"/>
  </w:num>
  <w:num w:numId="24">
    <w:abstractNumId w:val="7"/>
  </w:num>
  <w:num w:numId="25">
    <w:abstractNumId w:val="25"/>
  </w:num>
  <w:num w:numId="26">
    <w:abstractNumId w:val="32"/>
  </w:num>
  <w:num w:numId="27">
    <w:abstractNumId w:val="22"/>
  </w:num>
  <w:num w:numId="28">
    <w:abstractNumId w:val="33"/>
  </w:num>
  <w:num w:numId="29">
    <w:abstractNumId w:val="10"/>
  </w:num>
  <w:num w:numId="30">
    <w:abstractNumId w:val="6"/>
  </w:num>
  <w:num w:numId="31">
    <w:abstractNumId w:val="9"/>
  </w:num>
  <w:num w:numId="32">
    <w:abstractNumId w:val="27"/>
  </w:num>
  <w:num w:numId="33">
    <w:abstractNumId w:val="3"/>
  </w:num>
  <w:num w:numId="34">
    <w:abstractNumId w:val="12"/>
  </w:num>
  <w:num w:numId="35">
    <w:abstractNumId w:val="39"/>
  </w:num>
  <w:num w:numId="36">
    <w:abstractNumId w:val="18"/>
  </w:num>
  <w:num w:numId="37">
    <w:abstractNumId w:val="23"/>
  </w:num>
  <w:num w:numId="38">
    <w:abstractNumId w:val="2"/>
  </w:num>
  <w:num w:numId="39">
    <w:abstractNumId w:val="37"/>
  </w:num>
  <w:num w:numId="40">
    <w:abstractNumId w:val="29"/>
  </w:num>
  <w:num w:numId="41">
    <w:abstractNumId w:val="38"/>
  </w:num>
  <w:num w:numId="42">
    <w:abstractNumId w:val="3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jjj">
    <w15:presenceInfo w15:providerId="None" w15:userId="jj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0D1114"/>
    <w:rsid w:val="02834175"/>
    <w:rsid w:val="03C11BC8"/>
    <w:rsid w:val="2FB338F4"/>
    <w:rsid w:val="326A4E14"/>
    <w:rsid w:val="36F73D6D"/>
    <w:rsid w:val="3E7E4903"/>
    <w:rsid w:val="4255246F"/>
    <w:rsid w:val="4C425B41"/>
    <w:rsid w:val="4D0D1114"/>
    <w:rsid w:val="56F50139"/>
    <w:rsid w:val="7452064E"/>
    <w:rsid w:val="75697A43"/>
    <w:rsid w:val="7C354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numPr>
        <w:ilvl w:val="0"/>
        <w:numId w:val="1"/>
      </w:numPr>
      <w:spacing w:beforeLines="0" w:beforeAutospacing="0" w:afterLines="0" w:afterAutospacing="0" w:line="240" w:lineRule="auto"/>
      <w:ind w:left="0" w:firstLine="0" w:firstLineChars="0"/>
      <w:jc w:val="left"/>
      <w:outlineLvl w:val="0"/>
    </w:pPr>
    <w:rPr>
      <w:rFonts w:eastAsia="宋体" w:asciiTheme="minorAscii" w:hAnsiTheme="minorAscii" w:cstheme="minorBidi"/>
      <w:kern w:val="44"/>
      <w:sz w:val="32"/>
    </w:rPr>
  </w:style>
  <w:style w:type="paragraph" w:styleId="3">
    <w:name w:val="heading 2"/>
    <w:basedOn w:val="1"/>
    <w:next w:val="1"/>
    <w:unhideWhenUsed/>
    <w:qFormat/>
    <w:uiPriority w:val="0"/>
    <w:pPr>
      <w:keepNext/>
      <w:keepLines/>
      <w:numPr>
        <w:ilvl w:val="1"/>
        <w:numId w:val="1"/>
      </w:numPr>
      <w:spacing w:beforeLines="0" w:beforeAutospacing="0" w:afterLines="0" w:afterAutospacing="0" w:line="240" w:lineRule="auto"/>
      <w:jc w:val="left"/>
      <w:outlineLvl w:val="1"/>
    </w:pPr>
    <w:rPr>
      <w:rFonts w:ascii="Arial" w:hAnsi="Arial" w:eastAsia="宋体"/>
      <w:sz w:val="32"/>
    </w:rPr>
  </w:style>
  <w:style w:type="paragraph" w:styleId="4">
    <w:name w:val="heading 3"/>
    <w:basedOn w:val="1"/>
    <w:next w:val="1"/>
    <w:unhideWhenUsed/>
    <w:qFormat/>
    <w:uiPriority w:val="0"/>
    <w:pPr>
      <w:keepNext/>
      <w:keepLines/>
      <w:numPr>
        <w:ilvl w:val="2"/>
        <w:numId w:val="1"/>
      </w:numPr>
      <w:spacing w:beforeLines="0" w:beforeAutospacing="0" w:afterLines="0" w:afterAutospacing="0" w:line="240" w:lineRule="auto"/>
      <w:ind w:firstLine="400"/>
      <w:jc w:val="left"/>
      <w:outlineLvl w:val="2"/>
    </w:pPr>
    <w:rPr>
      <w:rFonts w:eastAsia="宋体" w:asciiTheme="minorAscii" w:hAnsiTheme="minorAscii"/>
      <w:sz w:val="28"/>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99"/>
    <w:pPr>
      <w:ind w:left="2520" w:leftChars="1200"/>
    </w:pPr>
  </w:style>
  <w:style w:type="paragraph" w:styleId="12">
    <w:name w:val="annotation text"/>
    <w:basedOn w:val="1"/>
    <w:qFormat/>
    <w:uiPriority w:val="0"/>
    <w:pPr>
      <w:jc w:val="left"/>
    </w:pPr>
  </w:style>
  <w:style w:type="paragraph" w:styleId="13">
    <w:name w:val="Body Text"/>
    <w:basedOn w:val="1"/>
    <w:next w:val="11"/>
    <w:qFormat/>
    <w:uiPriority w:val="0"/>
    <w:pPr>
      <w:spacing w:after="120"/>
    </w:pPr>
  </w:style>
  <w:style w:type="paragraph" w:styleId="14">
    <w:name w:val="Plain Text"/>
    <w:basedOn w:val="1"/>
    <w:qFormat/>
    <w:uiPriority w:val="0"/>
    <w:rPr>
      <w:rFonts w:ascii="宋体" w:hAnsi="Courier New"/>
      <w:sz w:val="21"/>
      <w:szCs w:val="21"/>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13"/>
    <w:qFormat/>
    <w:uiPriority w:val="0"/>
    <w:rPr>
      <w:rFonts w:eastAsia="仿宋_GB2312"/>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11432</Words>
  <Characters>11522</Characters>
  <Lines>0</Lines>
  <Paragraphs>0</Paragraphs>
  <TotalTime>100</TotalTime>
  <ScaleCrop>false</ScaleCrop>
  <LinksUpToDate>false</LinksUpToDate>
  <CharactersWithSpaces>11522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2026-07-28T08:06:00Z</dcterms:created>
  <dc:creator>jjj</dc:creator>
  <cp:lastModifiedBy>jjj</cp:lastModifiedBy>
  <dcterms:modified xsi:type="dcterms:W3CDTF">2026-08-07T03:25:20Z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B37A58599E1C401389252A1FAC3247AC_13</vt:lpwstr>
  </property>
  <property fmtid="{D5CDD505-2E9C-101B-9397-08002B2CF9AE}" pid="4" name="KSOTemplateDocerSaveRecord">
    <vt:lpwstr>eyJoZGlkIjoiODlhNjM5ODY4OTAxZTQ4MTU5MjlhMTRjNGEwODM3NWUifQ==</vt:lpwstr>
  </property>
</Properties>
</file>